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38E5"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DECRET     __/2026, de __ de _____, del Consell, d’aprovació de l’oferta d’ocupació pública de 2026 per a personal docent no universitari dependent de la Conselleria d’Educació, Cultura i Universitats de la Generalitat Valenciana.</w:t>
      </w:r>
    </w:p>
    <w:p w14:paraId="57E361E9"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93014BD"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14:ligatures w14:val="standardContextual"/>
        </w:rPr>
      </w:pPr>
      <w:r>
        <w:rPr>
          <w:rFonts w:ascii="Times New Roman" w:hAnsi="Times New Roman"/>
        </w:rPr>
        <w:t>Dins del marc legislatiu de l’article 70 del Reial decret legislatiu 5/2015, de 30 d’octubre, pel qual s’aprova el text refós de la Llei de l’Estatut bàsic de l’empleat públic, l’article 55 de la Llei 4/2021, de 16 d’abril, de la Generalitat, de la funció pública valenciana, establix, en relació amb l’Administració de la Generalitat, que, anualment, el Consell determinarà les necessitats de personal amb consignació pressupostària que no puguen ser cobertes amb els efectius existents o estiguen cobertes pel personal temporal a què es referixen els articles 18.2.</w:t>
      </w:r>
      <w:r>
        <w:rPr>
          <w:rFonts w:ascii="Times New Roman" w:hAnsi="Times New Roman"/>
          <w:i/>
          <w:iCs/>
        </w:rPr>
        <w:t>a</w:t>
      </w:r>
      <w:r>
        <w:rPr>
          <w:rFonts w:ascii="Times New Roman" w:hAnsi="Times New Roman"/>
        </w:rPr>
        <w:t xml:space="preserve"> i 19.5 mitjançant l’aprovació de l’oferta d’ocupació pública, que serà publicada en el </w:t>
      </w:r>
      <w:r>
        <w:rPr>
          <w:rFonts w:ascii="Times New Roman" w:hAnsi="Times New Roman"/>
          <w:i/>
        </w:rPr>
        <w:t>Diari Oficial de la Generalitat Valenciana.</w:t>
      </w:r>
    </w:p>
    <w:p w14:paraId="5498827B"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79D29121" w14:textId="0B9592AA"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D’acord amb el que preveu l’art. 39 de la Llei 6/2025, de 30 de maig, de pressupostos de la Generalitat per a l’exercici 2025, i, en relació amb això, l’art. 20 de la Llei 31/2022, de 30 de desembre, de pressupostos generals de l’Estat per a l’any 2023 (prorrogades les dos per a l’exercici 2026</w:t>
      </w:r>
      <w:r w:rsidR="00B9717D">
        <w:rPr>
          <w:rFonts w:ascii="Times New Roman" w:hAnsi="Times New Roman"/>
        </w:rPr>
        <w:t>,</w:t>
      </w:r>
      <w:r>
        <w:rPr>
          <w:rFonts w:ascii="Times New Roman" w:hAnsi="Times New Roman"/>
        </w:rPr>
        <w:t xml:space="preserve"> d’acord amb el que establix l’article 134.4 de la Constitució Espanyola i l’article 38 de la Llei 47/2003, de 26 de novembre, general pressupostària), que limiten la incorporació de </w:t>
      </w:r>
      <w:r w:rsidR="00B9717D">
        <w:rPr>
          <w:rFonts w:ascii="Times New Roman" w:hAnsi="Times New Roman"/>
        </w:rPr>
        <w:t xml:space="preserve">personal </w:t>
      </w:r>
      <w:r>
        <w:rPr>
          <w:rFonts w:ascii="Times New Roman" w:hAnsi="Times New Roman"/>
        </w:rPr>
        <w:t>nou en relació amb una taxa de reposició d’efectius que es fixa en un màxim del 120 % per als sectors funcionals considerats prioritaris com és l’Administració educativa, nivell ensenyances no universitàries, respectant en tot cas les disponibilitats pressupostàries del capítol I del pressupost de gastos.</w:t>
      </w:r>
    </w:p>
    <w:p w14:paraId="1E16A723"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6169ED6" w14:textId="2563E91E"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 xml:space="preserve">L’article 55 de la Llei 4/2021, de 16 d’abril, de la Generalitat, de la funció pública valenciana, disposa que, </w:t>
      </w:r>
      <w:r w:rsidR="002D22E0">
        <w:rPr>
          <w:rFonts w:ascii="Times New Roman" w:hAnsi="Times New Roman"/>
        </w:rPr>
        <w:t xml:space="preserve">una vegada </w:t>
      </w:r>
      <w:r>
        <w:rPr>
          <w:rFonts w:ascii="Times New Roman" w:hAnsi="Times New Roman"/>
        </w:rPr>
        <w:t>aprovada l’oferta d’ocupació pública, es convocaran, en el termini màxim fixat en esta, els corresponents procediments selectius per a la cobertura de les vacants incloses.</w:t>
      </w:r>
    </w:p>
    <w:p w14:paraId="0CD86FA2" w14:textId="452F70D3"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 xml:space="preserve">Les places no cobertes durant l’execució d’una convocatòria podran convocar-se novament sempre que no hagen transcorregut més de tres anys des de la publicació de l’oferta pública d’ocupació que les </w:t>
      </w:r>
      <w:r w:rsidR="002D22E0">
        <w:rPr>
          <w:rFonts w:ascii="Times New Roman" w:hAnsi="Times New Roman"/>
        </w:rPr>
        <w:t>haja</w:t>
      </w:r>
      <w:r>
        <w:rPr>
          <w:rFonts w:ascii="Times New Roman" w:hAnsi="Times New Roman"/>
        </w:rPr>
        <w:t xml:space="preserve"> autoritzades. La nova convocatòria haurà d’identificar les places que procedixen de convocatòries anteriors i l’oferta a la qual corresponen. </w:t>
      </w:r>
    </w:p>
    <w:p w14:paraId="663F3EF0"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 xml:space="preserve">Este decret s’ha negociat amb les organitzacions sindicals de l’ensenyança representades en la Mesa Sectorial d’Educació, en la </w:t>
      </w:r>
      <w:r>
        <w:rPr>
          <w:rFonts w:ascii="Times New Roman" w:hAnsi="Times New Roman"/>
          <w:color w:val="FF0000"/>
        </w:rPr>
        <w:t>reunió de xx d’abril de 2026</w:t>
      </w:r>
      <w:r>
        <w:rPr>
          <w:rFonts w:ascii="Times New Roman" w:hAnsi="Times New Roman"/>
        </w:rPr>
        <w:t xml:space="preserve">, d’acord amb </w:t>
      </w:r>
      <w:r>
        <w:rPr>
          <w:rFonts w:ascii="Times New Roman" w:hAnsi="Times New Roman"/>
        </w:rPr>
        <w:lastRenderedPageBreak/>
        <w:t>el que establix l’article 188.2.</w:t>
      </w:r>
      <w:r>
        <w:rPr>
          <w:rFonts w:ascii="Times New Roman" w:hAnsi="Times New Roman"/>
          <w:i/>
          <w:iCs/>
        </w:rPr>
        <w:t>m</w:t>
      </w:r>
      <w:r>
        <w:rPr>
          <w:rFonts w:ascii="Times New Roman" w:hAnsi="Times New Roman"/>
        </w:rPr>
        <w:t xml:space="preserve"> de la Llei 4/2021, de 16 d’abril, de la Generalitat, de la funció pública valenciana.</w:t>
      </w:r>
    </w:p>
    <w:p w14:paraId="4DFDB56E" w14:textId="77777777" w:rsidR="00E37A13"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19260DD0"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Per tot això, en execució de les atribucions previstes en l’article 7 de la Llei 4/2021, de 16 d’abril, de la Generalitat, de la funció pública valenciana, i de conformitat amb l’article 28.</w:t>
      </w:r>
      <w:r>
        <w:rPr>
          <w:rFonts w:ascii="Times New Roman" w:hAnsi="Times New Roman"/>
          <w:i/>
          <w:iCs/>
        </w:rPr>
        <w:t>c</w:t>
      </w:r>
      <w:r>
        <w:rPr>
          <w:rFonts w:ascii="Times New Roman" w:hAnsi="Times New Roman"/>
        </w:rPr>
        <w:t xml:space="preserve"> de la Llei 5/1983, de 30 de desembre, del Govern Valencià, a proposta del conseller d’Educació, Cultura i Universitats, una vegada informat favorablement per la Conselleria d’Hisenda, Economia i Administració Pública i amb deliberació prèvia del Consell, en la reunió del dia </w:t>
      </w:r>
      <w:proofErr w:type="spellStart"/>
      <w:r>
        <w:rPr>
          <w:rFonts w:ascii="Times New Roman" w:hAnsi="Times New Roman"/>
        </w:rPr>
        <w:t>xx</w:t>
      </w:r>
      <w:proofErr w:type="spellEnd"/>
      <w:r>
        <w:rPr>
          <w:rFonts w:ascii="Times New Roman" w:hAnsi="Times New Roman"/>
        </w:rPr>
        <w:t xml:space="preserve"> de </w:t>
      </w:r>
      <w:proofErr w:type="spellStart"/>
      <w:r>
        <w:rPr>
          <w:rFonts w:ascii="Times New Roman" w:hAnsi="Times New Roman"/>
        </w:rPr>
        <w:t>xxxxxx</w:t>
      </w:r>
      <w:proofErr w:type="spellEnd"/>
      <w:r>
        <w:rPr>
          <w:rFonts w:ascii="Times New Roman" w:hAnsi="Times New Roman"/>
        </w:rPr>
        <w:t xml:space="preserve"> de 2026,</w:t>
      </w:r>
    </w:p>
    <w:p w14:paraId="63EC97A9"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068329F5" w14:textId="77777777" w:rsidR="00E37A13" w:rsidRPr="00C73A51" w:rsidRDefault="00E37A13" w:rsidP="00E37A13">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14:ligatures w14:val="standardContextual"/>
        </w:rPr>
      </w:pPr>
      <w:r>
        <w:rPr>
          <w:rFonts w:ascii="Times New Roman" w:hAnsi="Times New Roman"/>
        </w:rPr>
        <w:t>DECRETE</w:t>
      </w:r>
    </w:p>
    <w:p w14:paraId="70ED3D45" w14:textId="683A97DA" w:rsidR="00E37A13" w:rsidRPr="00302A88"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Article 1. De l’oferta pública d’ocupació</w:t>
      </w:r>
    </w:p>
    <w:p w14:paraId="585472C8" w14:textId="63F9EFFA"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De conformitat amb el que es disposa en l’art. 55 de la Llei 4/2021, de 16 d’abril, de la Generalitat, de la funció pública valenciana, i en l’art.</w:t>
      </w:r>
      <w:r w:rsidR="00712C8A">
        <w:rPr>
          <w:rFonts w:ascii="Times New Roman" w:hAnsi="Times New Roman"/>
        </w:rPr>
        <w:t xml:space="preserve"> </w:t>
      </w:r>
      <w:r>
        <w:rPr>
          <w:rFonts w:ascii="Times New Roman" w:hAnsi="Times New Roman"/>
        </w:rPr>
        <w:t>70 del Reial decret legislatiu 5/2015, de 30 d’octubre, pel qual s’aprova el text refós de la Llei de l’Estatut bàsic de l’empleat públic; i l’art. 39 de la Llei 6/2025, de 30 de maig, de pressupostos de la Generalitat per a l’exercici 2025 (prorrogada per a este exercici), s’aprova l’oferta pública d’ocupació corresponent a esta anualitat de 2026, per a l’àmbit del personal docent no universitari de la Generalitat i referida exclusivament a llocs de treball la gestió dels quals té atribuïda la Direcció General de Personal Docent de la Conselleria d’Educació, Cultura i Universitats.</w:t>
      </w:r>
    </w:p>
    <w:p w14:paraId="3AC44018"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Article 2. Contingut de l’oferta</w:t>
      </w:r>
    </w:p>
    <w:p w14:paraId="15DB9F9B" w14:textId="4B2FAF28" w:rsidR="00E37A13" w:rsidRPr="00302A88"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 xml:space="preserve">La present oferta pública d’ocupació docent inclou </w:t>
      </w:r>
      <w:r w:rsidR="00B417E0">
        <w:rPr>
          <w:rFonts w:ascii="Times New Roman" w:hAnsi="Times New Roman"/>
        </w:rPr>
        <w:t>2.067</w:t>
      </w:r>
      <w:r>
        <w:rPr>
          <w:rFonts w:ascii="Times New Roman" w:hAnsi="Times New Roman"/>
        </w:rPr>
        <w:t xml:space="preserve"> places corresponents al torn d’ingrés lliure detallades en l’annex I provinents de dos vies:</w:t>
      </w:r>
    </w:p>
    <w:p w14:paraId="2586AA58" w14:textId="701A5C38" w:rsidR="00E37A13" w:rsidRPr="00302A88" w:rsidRDefault="000A6596" w:rsidP="00E37A13">
      <w:pPr>
        <w:pStyle w:val="Prrafodelista"/>
        <w:widowControl/>
        <w:numPr>
          <w:ilvl w:val="0"/>
          <w:numId w:val="2"/>
        </w:numPr>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L</w:t>
      </w:r>
      <w:r w:rsidR="00E37A13">
        <w:rPr>
          <w:rFonts w:ascii="Times New Roman" w:hAnsi="Times New Roman"/>
        </w:rPr>
        <w:t>es places que es computen per la taxa de reposició d’efectius (1.</w:t>
      </w:r>
      <w:r w:rsidR="00B417E0">
        <w:rPr>
          <w:rFonts w:ascii="Times New Roman" w:hAnsi="Times New Roman"/>
        </w:rPr>
        <w:t>678</w:t>
      </w:r>
      <w:r w:rsidR="00E37A13">
        <w:rPr>
          <w:rFonts w:ascii="Times New Roman" w:hAnsi="Times New Roman"/>
        </w:rPr>
        <w:t xml:space="preserve"> places).</w:t>
      </w:r>
    </w:p>
    <w:p w14:paraId="3A41ABD0" w14:textId="339BBCFA" w:rsidR="00E37A13" w:rsidRPr="00302A88" w:rsidRDefault="000A6596" w:rsidP="00E37A13">
      <w:pPr>
        <w:pStyle w:val="Prrafodelista"/>
        <w:widowControl/>
        <w:numPr>
          <w:ilvl w:val="0"/>
          <w:numId w:val="2"/>
        </w:numPr>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L</w:t>
      </w:r>
      <w:r w:rsidR="00E37A13">
        <w:rPr>
          <w:rFonts w:ascii="Times New Roman" w:hAnsi="Times New Roman"/>
        </w:rPr>
        <w:t>es places no adjudicades del procediment selectiu d’accés a cos docent de subgrup superior per al cos de professors i professores d’Ensenyança Secundària convocat per l’Orde 29/2024, de 25 de novembre (107 places), i les places no adjudicades del procediment selectiu de concurs oposició d’ingrés i procediment per a l’adquisició de noves especialitats en els cossos de professors d’Ensenyança Secundària, professors especialistes en sectors singulars de la Formació Professional, professors d’escoles oficials d’idiomes, professors de Música i Arts Escèniques i professors d’Arts Plàstiques i Disseny, convocat per l’Orde 1/2025, de 28 de gener (282 places)</w:t>
      </w:r>
      <w:r w:rsidR="003E55C5">
        <w:rPr>
          <w:rFonts w:ascii="Times New Roman" w:hAnsi="Times New Roman"/>
        </w:rPr>
        <w:t>.</w:t>
      </w:r>
    </w:p>
    <w:p w14:paraId="04692D19"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Article 3. Convocatòria</w:t>
      </w:r>
    </w:p>
    <w:p w14:paraId="51F3C616"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lastRenderedPageBreak/>
        <w:t>El procés selectiu derivat d’esta oferta pública d’ocupació serà convocat per la Conselleria d’Educació, Cultura i Universitats conformement al que disposa l’art. 55 de la Llei 4/2021, de 16 d’abril, de la Generalitat, de la funció pública valenciana, i altres disposicions que siguen aplicables.</w:t>
      </w:r>
    </w:p>
    <w:p w14:paraId="5CC69D81" w14:textId="53E15823" w:rsidR="00E37A13"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Article 4. Reserva per a persones amb discapacitat</w:t>
      </w:r>
    </w:p>
    <w:p w14:paraId="4A95585F" w14:textId="77777777" w:rsidR="00E37A13" w:rsidRPr="004E5BCA"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sidRPr="004E5BCA">
        <w:rPr>
          <w:rFonts w:ascii="Times New Roman" w:hAnsi="Times New Roman" w:cs="Times New Roman"/>
        </w:rPr>
        <w:t>1. En compliment del que disposa l’article 64 de la Llei 4/2021, de 16 d’abril, de la Generalitat, de la funció pública valenciana, es reserva un contingent no inferior al 10 % de les vacants per a ser cobertes entre persones amb discapacitat, considerant com a tals les definides en la legislació bàsica estatal sobre drets de les persones amb discapacitat, sempre que superen els processos selectius en la modalitat que s’establisca per tipus de discapacitat i acrediten el seu grau de discapacitat i la compatibilitat amb l’acompliment de les tasques.</w:t>
      </w:r>
    </w:p>
    <w:p w14:paraId="5E6C0DAD"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2. La reserva a què es referix l’apartat anterior es desglossa, d’acord amb el que preveu el precepte mencionat, de la manera següent:</w:t>
      </w:r>
    </w:p>
    <w:p w14:paraId="72558587" w14:textId="77777777" w:rsidR="00E37A13" w:rsidRPr="00FB616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sidRPr="00FB6161">
        <w:rPr>
          <w:rFonts w:ascii="Times New Roman" w:hAnsi="Times New Roman"/>
        </w:rPr>
        <w:t>a) un mínim del 5 % de les places oferides es reservaran per a ser cobertes per persones que acrediten discapacitat intel·lectual o malaltia mental, dins del qual es reserva un percentatge específic del 3 % per a persones amb discapacitat intel·lectual i un 2 % per a persones amb malaltia mental que acrediten un grau de discapacitat igual o superior al 33 %.</w:t>
      </w:r>
    </w:p>
    <w:p w14:paraId="55F08A85"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sidRPr="00FB6161">
        <w:rPr>
          <w:rFonts w:ascii="Times New Roman" w:hAnsi="Times New Roman"/>
        </w:rPr>
        <w:t>b) i la resta de les places, és a dir, el 5 % restant, es reservaran per a persones que</w:t>
      </w:r>
      <w:r>
        <w:rPr>
          <w:rFonts w:ascii="Times New Roman" w:hAnsi="Times New Roman"/>
        </w:rPr>
        <w:t xml:space="preserve"> acrediten qualsevol altra classe de discapacitat.</w:t>
      </w:r>
    </w:p>
    <w:p w14:paraId="07FF0189"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3. Les proves selectives destinades a persones amb discapacitat tindran el mateix contingut que les establides per a la resta de les persones aspirants, sense perjuí de les adaptacions i els ajustos raonables necessaris de temps i mitjans per a la seua realització, per a assegurar que les persones amb discapacitat participen en condicions d’igualtat.</w:t>
      </w:r>
    </w:p>
    <w:p w14:paraId="5CEAA9DA" w14:textId="3DB3C680"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 xml:space="preserve">4. L’opció a llocs reservats haurà de formular-se en la sol·licitud de participació en les convocatòries, </w:t>
      </w:r>
      <w:r w:rsidR="009934D4">
        <w:rPr>
          <w:rFonts w:ascii="Times New Roman" w:hAnsi="Times New Roman"/>
        </w:rPr>
        <w:t>fet</w:t>
      </w:r>
      <w:r>
        <w:rPr>
          <w:rFonts w:ascii="Times New Roman" w:hAnsi="Times New Roman"/>
        </w:rPr>
        <w:t xml:space="preserve"> que haurà d’indicar-se expressament en estes.</w:t>
      </w:r>
    </w:p>
    <w:p w14:paraId="3182FC2B" w14:textId="77777777" w:rsidR="00E37A13" w:rsidRPr="00AB127C"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sidRPr="00AB127C">
        <w:rPr>
          <w:rFonts w:ascii="Times New Roman" w:hAnsi="Times New Roman"/>
        </w:rPr>
        <w:t>Article 5. Mesures per a promoure la igualtat de gènere</w:t>
      </w:r>
    </w:p>
    <w:p w14:paraId="0910CDA6" w14:textId="77777777" w:rsidR="00E37A13" w:rsidRPr="00AB127C"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sidRPr="00AB127C">
        <w:rPr>
          <w:rFonts w:ascii="Times New Roman" w:hAnsi="Times New Roman"/>
        </w:rPr>
        <w:t>La convocatòria haurà d’incloure com a criteri de desempat, abans del sorteig o la primera lletra del cognom, la resolució en favor de la dona en el cas que este sexe estiga infrarepresentat dins del col·lectiu de persones que formen part del cos objecte de la convocatòria.</w:t>
      </w:r>
    </w:p>
    <w:p w14:paraId="64AE0C7B" w14:textId="77777777" w:rsidR="00E37A13" w:rsidRPr="005A5EA3"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color w:val="FF0000"/>
          <w:kern w:val="2"/>
          <w:lang w:val="es-ES"/>
          <w14:ligatures w14:val="standardContextual"/>
        </w:rPr>
      </w:pPr>
    </w:p>
    <w:p w14:paraId="61EB7E83" w14:textId="77777777" w:rsidR="00AB127C" w:rsidRDefault="00AB127C" w:rsidP="00E37A13">
      <w:pPr>
        <w:widowControl/>
        <w:tabs>
          <w:tab w:val="left" w:pos="1083"/>
        </w:tabs>
        <w:suppressAutoHyphens w:val="0"/>
        <w:autoSpaceDN/>
        <w:spacing w:after="160" w:line="259" w:lineRule="auto"/>
        <w:jc w:val="both"/>
        <w:textAlignment w:val="auto"/>
        <w:rPr>
          <w:rFonts w:ascii="Times New Roman" w:hAnsi="Times New Roman"/>
        </w:rPr>
      </w:pPr>
    </w:p>
    <w:p w14:paraId="0421A6D9" w14:textId="7962E4AB"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lastRenderedPageBreak/>
        <w:t>DISPOSICIÓ ADDICIONAL</w:t>
      </w:r>
    </w:p>
    <w:p w14:paraId="1A0A9658"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Única</w:t>
      </w:r>
    </w:p>
    <w:p w14:paraId="23367AB3"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Els cossos objecte de la present oferta, així com les places oferides, podran ser objecte d’ampliació si, en el marc de la normativa bàsica estatal i mitjançant els corresponents acords amb les organitzacions sindicals, s’aproven nous acords per al desenrotllament de les ofertes d’ocupació pública i/o plans d’estabilitat en l’ocupació pública, cas en el qual caldrà ajustar-se als criteris i a les previsions que s’establisquen en estos.</w:t>
      </w:r>
    </w:p>
    <w:p w14:paraId="7C0DD880"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DISPOSICIONS FINALS</w:t>
      </w:r>
    </w:p>
    <w:p w14:paraId="3EEACACC" w14:textId="16A85C15" w:rsidR="00E37A13"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Primera. Inalterabilitat dels llocs de treball</w:t>
      </w:r>
    </w:p>
    <w:p w14:paraId="5072D7D7"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Els llocs de treball inclosos en la present oferta d’ocupació pública no podran patir cap modificació en la seua classificació fins després d’haver-se realitzat les corresponents proves selectives i la provisió dels corresponents llocs de treball.</w:t>
      </w:r>
    </w:p>
    <w:p w14:paraId="60CF23E0"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Segona. Desplegament</w:t>
      </w:r>
    </w:p>
    <w:p w14:paraId="05A0413D" w14:textId="77777777" w:rsidR="00E37A13"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Es faculta la persona titular de la conselleria competent en educació perquè dicte qualsevol disposició que requerisca el compliment i l’execució d’este decret.</w:t>
      </w:r>
    </w:p>
    <w:p w14:paraId="6FF3741C"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14:ligatures w14:val="standardContextual"/>
        </w:rPr>
      </w:pPr>
      <w:r>
        <w:rPr>
          <w:rFonts w:ascii="Times New Roman" w:hAnsi="Times New Roman"/>
        </w:rPr>
        <w:t>Tercera. Efectes</w:t>
      </w:r>
    </w:p>
    <w:p w14:paraId="69BA43CA"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14:ligatures w14:val="standardContextual"/>
        </w:rPr>
      </w:pPr>
      <w:r>
        <w:rPr>
          <w:rFonts w:ascii="Times New Roman" w:hAnsi="Times New Roman"/>
        </w:rPr>
        <w:t xml:space="preserve">El present decret entrarà en vigor l’endemà de la seua publicació en el </w:t>
      </w:r>
      <w:r>
        <w:rPr>
          <w:rFonts w:ascii="Times New Roman" w:hAnsi="Times New Roman"/>
          <w:i/>
        </w:rPr>
        <w:t>Diari Oficial de la Generalitat Valenciana.</w:t>
      </w:r>
    </w:p>
    <w:p w14:paraId="29C792B2"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lang w:val="es-ES"/>
          <w14:ligatures w14:val="standardContextual"/>
        </w:rPr>
      </w:pPr>
    </w:p>
    <w:p w14:paraId="6853893C" w14:textId="77777777" w:rsidR="00E37A13" w:rsidRPr="00C73A51" w:rsidRDefault="00E37A13" w:rsidP="00E37A13">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14:ligatures w14:val="standardContextual"/>
        </w:rPr>
      </w:pPr>
      <w:r>
        <w:rPr>
          <w:rFonts w:ascii="Times New Roman" w:hAnsi="Times New Roman"/>
        </w:rPr>
        <w:t xml:space="preserve">El president de la Generalitat </w:t>
      </w:r>
    </w:p>
    <w:p w14:paraId="67C4A314" w14:textId="77777777" w:rsidR="00E37A13" w:rsidRPr="00C73A51" w:rsidRDefault="00E37A13" w:rsidP="00E37A13">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14:ligatures w14:val="standardContextual"/>
        </w:rPr>
      </w:pPr>
      <w:r>
        <w:rPr>
          <w:rFonts w:ascii="Times New Roman" w:hAnsi="Times New Roman"/>
        </w:rPr>
        <w:t>Juanfran Pérez Llorca</w:t>
      </w:r>
    </w:p>
    <w:p w14:paraId="5AC8FE60" w14:textId="77777777" w:rsidR="00E37A13" w:rsidRDefault="00E37A13" w:rsidP="00E37A13">
      <w:pPr>
        <w:widowControl/>
        <w:tabs>
          <w:tab w:val="left" w:pos="1083"/>
        </w:tabs>
        <w:suppressAutoHyphens w:val="0"/>
        <w:autoSpaceDN/>
        <w:spacing w:after="160" w:line="259" w:lineRule="auto"/>
        <w:textAlignment w:val="auto"/>
        <w:rPr>
          <w:rFonts w:ascii="Times New Roman" w:eastAsiaTheme="minorHAnsi" w:hAnsi="Times New Roman" w:cs="Times New Roman"/>
          <w:kern w:val="2"/>
          <w:lang w:val="es-ES"/>
          <w14:ligatures w14:val="standardContextual"/>
        </w:rPr>
      </w:pPr>
    </w:p>
    <w:p w14:paraId="01BACE4E" w14:textId="77777777" w:rsidR="00E37A13" w:rsidRDefault="00E37A13" w:rsidP="00E37A13">
      <w:pPr>
        <w:widowControl/>
        <w:tabs>
          <w:tab w:val="left" w:pos="1083"/>
        </w:tabs>
        <w:suppressAutoHyphens w:val="0"/>
        <w:autoSpaceDN/>
        <w:spacing w:after="160" w:line="259" w:lineRule="auto"/>
        <w:textAlignment w:val="auto"/>
        <w:rPr>
          <w:rFonts w:ascii="Times New Roman" w:eastAsiaTheme="minorHAnsi" w:hAnsi="Times New Roman" w:cs="Times New Roman"/>
          <w:kern w:val="2"/>
          <w:lang w:val="es-ES"/>
          <w14:ligatures w14:val="standardContextual"/>
        </w:rPr>
      </w:pPr>
    </w:p>
    <w:p w14:paraId="6BD38FC0" w14:textId="06FF0DA3" w:rsidR="00E37A13" w:rsidRPr="00C73A51" w:rsidRDefault="00E37A13" w:rsidP="00E37A13">
      <w:pPr>
        <w:widowControl/>
        <w:tabs>
          <w:tab w:val="left" w:pos="1083"/>
        </w:tabs>
        <w:suppressAutoHyphens w:val="0"/>
        <w:autoSpaceDN/>
        <w:spacing w:after="160" w:line="259" w:lineRule="auto"/>
        <w:textAlignment w:val="auto"/>
        <w:rPr>
          <w:rFonts w:ascii="Times New Roman" w:eastAsiaTheme="minorHAnsi" w:hAnsi="Times New Roman" w:cs="Times New Roman"/>
          <w:kern w:val="2"/>
          <w14:ligatures w14:val="standardContextual"/>
        </w:rPr>
      </w:pPr>
      <w:r>
        <w:rPr>
          <w:rFonts w:ascii="Times New Roman" w:hAnsi="Times New Roman"/>
        </w:rPr>
        <w:t xml:space="preserve">La consellera d’Educació, Cultura i Universitats </w:t>
      </w:r>
    </w:p>
    <w:p w14:paraId="2E3EA1A7" w14:textId="77777777" w:rsidR="00E37A13" w:rsidRPr="00C73A51" w:rsidRDefault="00E37A13" w:rsidP="00E37A13">
      <w:pPr>
        <w:widowControl/>
        <w:tabs>
          <w:tab w:val="left" w:pos="1083"/>
        </w:tabs>
        <w:suppressAutoHyphens w:val="0"/>
        <w:autoSpaceDN/>
        <w:spacing w:after="160" w:line="259" w:lineRule="auto"/>
        <w:textAlignment w:val="auto"/>
        <w:rPr>
          <w:rFonts w:ascii="Times New Roman" w:eastAsiaTheme="minorHAnsi" w:hAnsi="Times New Roman" w:cs="Times New Roman"/>
          <w:kern w:val="2"/>
          <w14:ligatures w14:val="standardContextual"/>
        </w:rPr>
      </w:pPr>
      <w:r>
        <w:rPr>
          <w:rFonts w:ascii="Times New Roman" w:hAnsi="Times New Roman"/>
        </w:rPr>
        <w:t>María del Carmen Ortí Ferre</w:t>
      </w:r>
    </w:p>
    <w:p w14:paraId="33CC4289" w14:textId="77777777" w:rsidR="00E37A13"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3E214475" w14:textId="77777777" w:rsidR="00E37A13"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17911540" w14:textId="77777777" w:rsidR="00E37A13"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0AEC4A0C" w14:textId="77777777" w:rsidR="00AB127C" w:rsidRDefault="00AB127C"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0A814679"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33E902E1" w14:textId="77777777" w:rsidR="00E37A13" w:rsidRPr="00C73A51" w:rsidRDefault="00E37A13" w:rsidP="00E37A13">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14:ligatures w14:val="standardContextual"/>
        </w:rPr>
      </w:pPr>
      <w:r>
        <w:rPr>
          <w:rFonts w:ascii="Times New Roman" w:hAnsi="Times New Roman"/>
        </w:rPr>
        <w:lastRenderedPageBreak/>
        <w:t>ANNEX I</w:t>
      </w:r>
    </w:p>
    <w:p w14:paraId="0D204849" w14:textId="77777777" w:rsidR="00E37A13" w:rsidRPr="00C73A51" w:rsidRDefault="00E37A13" w:rsidP="00E37A1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2A81C421" w14:textId="77777777" w:rsidR="00E37A13" w:rsidRPr="00C73A51" w:rsidRDefault="00E37A13" w:rsidP="00E37A13">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14:ligatures w14:val="standardContextual"/>
        </w:rPr>
      </w:pPr>
      <w:r>
        <w:rPr>
          <w:rFonts w:ascii="Times New Roman" w:hAnsi="Times New Roman"/>
        </w:rPr>
        <w:t>Places oferides per procediment d’ingrés</w:t>
      </w:r>
    </w:p>
    <w:p w14:paraId="4F4DF4E3" w14:textId="77777777" w:rsidR="00E37A13" w:rsidRPr="00C73A51" w:rsidRDefault="00E37A13" w:rsidP="00E37A13">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p>
    <w:tbl>
      <w:tblPr>
        <w:tblW w:w="8891" w:type="dxa"/>
        <w:tblInd w:w="92" w:type="dxa"/>
        <w:tblLayout w:type="fixed"/>
        <w:tblCellMar>
          <w:left w:w="10" w:type="dxa"/>
          <w:right w:w="10" w:type="dxa"/>
        </w:tblCellMar>
        <w:tblLook w:val="0000" w:firstRow="0" w:lastRow="0" w:firstColumn="0" w:lastColumn="0" w:noHBand="0" w:noVBand="0"/>
      </w:tblPr>
      <w:tblGrid>
        <w:gridCol w:w="7144"/>
        <w:gridCol w:w="1747"/>
      </w:tblGrid>
      <w:tr w:rsidR="00E37A13" w:rsidRPr="004C6D9B" w14:paraId="3CC71D36" w14:textId="77777777" w:rsidTr="00666951">
        <w:trPr>
          <w:trHeight w:val="454"/>
        </w:trPr>
        <w:tc>
          <w:tcPr>
            <w:tcW w:w="714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CB88C91" w14:textId="77777777" w:rsidR="00E37A13" w:rsidRPr="004C6D9B" w:rsidRDefault="00E37A13" w:rsidP="00666951">
            <w:pPr>
              <w:widowControl/>
              <w:suppressAutoHyphens w:val="0"/>
              <w:ind w:left="397"/>
              <w:jc w:val="center"/>
              <w:rPr>
                <w:rFonts w:ascii="Roboto" w:eastAsia="Roboto" w:hAnsi="Roboto" w:cs="Arial"/>
                <w:color w:val="000000"/>
                <w:kern w:val="3"/>
                <w:sz w:val="22"/>
                <w:szCs w:val="22"/>
              </w:rPr>
            </w:pPr>
            <w:r>
              <w:rPr>
                <w:rFonts w:ascii="Roboto" w:hAnsi="Roboto"/>
                <w:color w:val="000000"/>
                <w:sz w:val="22"/>
              </w:rPr>
              <w:t>COS</w:t>
            </w:r>
          </w:p>
        </w:tc>
        <w:tc>
          <w:tcPr>
            <w:tcW w:w="17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EF58A4A" w14:textId="77777777" w:rsidR="00E37A13" w:rsidRPr="004C6D9B" w:rsidRDefault="00E37A13" w:rsidP="00666951">
            <w:pPr>
              <w:widowControl/>
              <w:suppressLineNumbers/>
              <w:suppressAutoHyphens w:val="0"/>
              <w:jc w:val="center"/>
              <w:rPr>
                <w:rFonts w:ascii="Roboto" w:eastAsia="Roboto" w:hAnsi="Roboto" w:cs="Roboto"/>
                <w:color w:val="000000"/>
                <w:kern w:val="3"/>
                <w:sz w:val="22"/>
                <w:szCs w:val="22"/>
              </w:rPr>
            </w:pPr>
            <w:r>
              <w:rPr>
                <w:rFonts w:ascii="Roboto" w:hAnsi="Roboto"/>
                <w:color w:val="000000"/>
                <w:sz w:val="22"/>
              </w:rPr>
              <w:t>Nombre de places</w:t>
            </w:r>
          </w:p>
        </w:tc>
      </w:tr>
      <w:tr w:rsidR="003E6B30" w:rsidRPr="004C6D9B" w14:paraId="408B1B04" w14:textId="77777777" w:rsidTr="00666951">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7FEC0C7A" w14:textId="480450C9" w:rsidR="003E6B30" w:rsidRDefault="003E6B30" w:rsidP="00666951">
            <w:pPr>
              <w:widowControl/>
              <w:suppressLineNumbers/>
              <w:suppressAutoHyphens w:val="0"/>
              <w:jc w:val="both"/>
              <w:rPr>
                <w:rFonts w:ascii="Roboto" w:hAnsi="Roboto"/>
                <w:color w:val="000000"/>
                <w:sz w:val="22"/>
              </w:rPr>
            </w:pPr>
            <w:r>
              <w:rPr>
                <w:rFonts w:ascii="Roboto" w:hAnsi="Roboto"/>
                <w:color w:val="000000"/>
                <w:sz w:val="22"/>
              </w:rPr>
              <w:t>Inspectors d´Educació</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DA791A5" w14:textId="42C80BB8" w:rsidR="003E6B30" w:rsidRPr="003E6B30" w:rsidRDefault="003E6B30" w:rsidP="00666951">
            <w:pPr>
              <w:widowControl/>
              <w:suppressLineNumbers/>
              <w:suppressAutoHyphens w:val="0"/>
              <w:jc w:val="center"/>
              <w:rPr>
                <w:rFonts w:ascii="Roboto" w:hAnsi="Roboto"/>
                <w:color w:val="FF0000"/>
                <w:sz w:val="22"/>
              </w:rPr>
            </w:pPr>
            <w:r w:rsidRPr="00B417E0">
              <w:rPr>
                <w:rFonts w:ascii="Roboto" w:hAnsi="Roboto"/>
                <w:sz w:val="22"/>
              </w:rPr>
              <w:t>15</w:t>
            </w:r>
          </w:p>
        </w:tc>
      </w:tr>
      <w:tr w:rsidR="00B417E0" w:rsidRPr="00B417E0" w14:paraId="74E7FD99" w14:textId="77777777" w:rsidTr="00666951">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3DB882C6" w14:textId="77777777" w:rsidR="00E37A13" w:rsidRPr="00B417E0" w:rsidRDefault="00E37A13" w:rsidP="00666951">
            <w:pPr>
              <w:widowControl/>
              <w:suppressLineNumbers/>
              <w:suppressAutoHyphens w:val="0"/>
              <w:jc w:val="both"/>
              <w:rPr>
                <w:rFonts w:ascii="Roboto" w:eastAsia="Roboto" w:hAnsi="Roboto" w:cs="Arial"/>
                <w:kern w:val="3"/>
                <w:sz w:val="22"/>
                <w:szCs w:val="22"/>
              </w:rPr>
            </w:pPr>
            <w:r w:rsidRPr="00B417E0">
              <w:rPr>
                <w:rFonts w:ascii="Roboto" w:hAnsi="Roboto"/>
                <w:sz w:val="22"/>
              </w:rPr>
              <w:t>Professors d’Ensenyança Secundària</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A7DBDD1" w14:textId="54AB728F" w:rsidR="00E37A13" w:rsidRPr="00B417E0" w:rsidRDefault="00B417E0" w:rsidP="00666951">
            <w:pPr>
              <w:widowControl/>
              <w:suppressLineNumbers/>
              <w:suppressAutoHyphens w:val="0"/>
              <w:jc w:val="center"/>
              <w:rPr>
                <w:rFonts w:ascii="Roboto" w:eastAsia="Roboto" w:hAnsi="Roboto" w:cs="Roboto"/>
                <w:kern w:val="3"/>
                <w:sz w:val="22"/>
                <w:szCs w:val="22"/>
              </w:rPr>
            </w:pPr>
            <w:r w:rsidRPr="00B417E0">
              <w:rPr>
                <w:rFonts w:ascii="Roboto" w:eastAsia="Roboto" w:hAnsi="Roboto" w:cs="Roboto"/>
                <w:kern w:val="3"/>
                <w:sz w:val="22"/>
                <w:szCs w:val="22"/>
              </w:rPr>
              <w:t>1.837</w:t>
            </w:r>
          </w:p>
        </w:tc>
      </w:tr>
      <w:tr w:rsidR="00B417E0" w:rsidRPr="00B417E0" w14:paraId="4FF321CF" w14:textId="77777777" w:rsidTr="00666951">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02F8CE65" w14:textId="77777777" w:rsidR="00E37A13" w:rsidRPr="00B417E0" w:rsidRDefault="00E37A13" w:rsidP="00666951">
            <w:pPr>
              <w:widowControl/>
              <w:suppressLineNumbers/>
              <w:suppressAutoHyphens w:val="0"/>
              <w:jc w:val="both"/>
              <w:rPr>
                <w:rFonts w:ascii="Roboto" w:eastAsia="Roboto" w:hAnsi="Roboto" w:cs="Arial"/>
                <w:kern w:val="3"/>
                <w:sz w:val="22"/>
                <w:szCs w:val="22"/>
              </w:rPr>
            </w:pPr>
            <w:r w:rsidRPr="00B417E0">
              <w:rPr>
                <w:rFonts w:ascii="Roboto" w:hAnsi="Roboto"/>
                <w:sz w:val="22"/>
              </w:rPr>
              <w:t>Professors especialistes en sectors singulars de la Formació Professional</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E12BD41" w14:textId="2A11B6FF" w:rsidR="00E37A13" w:rsidRPr="00B417E0" w:rsidRDefault="00B417E0" w:rsidP="00666951">
            <w:pPr>
              <w:widowControl/>
              <w:suppressLineNumbers/>
              <w:suppressAutoHyphens w:val="0"/>
              <w:jc w:val="center"/>
              <w:rPr>
                <w:rFonts w:ascii="Roboto" w:eastAsia="Roboto" w:hAnsi="Roboto" w:cs="Roboto"/>
                <w:kern w:val="3"/>
                <w:sz w:val="22"/>
                <w:szCs w:val="22"/>
              </w:rPr>
            </w:pPr>
            <w:r w:rsidRPr="00B417E0">
              <w:rPr>
                <w:rFonts w:ascii="Roboto" w:eastAsia="Roboto" w:hAnsi="Roboto" w:cs="Roboto"/>
                <w:kern w:val="3"/>
                <w:sz w:val="22"/>
                <w:szCs w:val="22"/>
              </w:rPr>
              <w:t>95</w:t>
            </w:r>
          </w:p>
        </w:tc>
      </w:tr>
      <w:tr w:rsidR="00B417E0" w:rsidRPr="00B417E0" w14:paraId="7968F75D" w14:textId="77777777" w:rsidTr="00666951">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3D64DFB6" w14:textId="77777777" w:rsidR="00E37A13" w:rsidRPr="00B417E0" w:rsidRDefault="00E37A13" w:rsidP="00666951">
            <w:pPr>
              <w:widowControl/>
              <w:suppressLineNumbers/>
              <w:suppressAutoHyphens w:val="0"/>
              <w:jc w:val="both"/>
              <w:rPr>
                <w:rFonts w:ascii="Roboto" w:eastAsia="Roboto" w:hAnsi="Roboto" w:cs="Arial"/>
                <w:kern w:val="3"/>
                <w:sz w:val="22"/>
                <w:szCs w:val="22"/>
              </w:rPr>
            </w:pPr>
            <w:r w:rsidRPr="00B417E0">
              <w:rPr>
                <w:rFonts w:ascii="Roboto" w:hAnsi="Roboto"/>
                <w:sz w:val="22"/>
              </w:rPr>
              <w:t>Professors escoles oficials d’idiomes</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1E716F7" w14:textId="715E2906" w:rsidR="00E37A13" w:rsidRPr="00B417E0" w:rsidRDefault="00B417E0" w:rsidP="00666951">
            <w:pPr>
              <w:widowControl/>
              <w:suppressLineNumbers/>
              <w:suppressAutoHyphens w:val="0"/>
              <w:jc w:val="center"/>
              <w:rPr>
                <w:rFonts w:ascii="Roboto" w:eastAsia="Roboto" w:hAnsi="Roboto" w:cs="Roboto"/>
                <w:kern w:val="3"/>
                <w:sz w:val="22"/>
                <w:szCs w:val="22"/>
              </w:rPr>
            </w:pPr>
            <w:r w:rsidRPr="00B417E0">
              <w:rPr>
                <w:rFonts w:ascii="Roboto" w:eastAsia="Roboto" w:hAnsi="Roboto" w:cs="Roboto"/>
                <w:kern w:val="3"/>
                <w:sz w:val="22"/>
                <w:szCs w:val="22"/>
              </w:rPr>
              <w:t>22</w:t>
            </w:r>
          </w:p>
        </w:tc>
      </w:tr>
      <w:tr w:rsidR="00B417E0" w:rsidRPr="00B417E0" w14:paraId="39B4B08D" w14:textId="77777777" w:rsidTr="00666951">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4AE6B1BB" w14:textId="77777777" w:rsidR="00E37A13" w:rsidRPr="00B417E0" w:rsidRDefault="00E37A13" w:rsidP="00666951">
            <w:pPr>
              <w:widowControl/>
              <w:suppressLineNumbers/>
              <w:suppressAutoHyphens w:val="0"/>
              <w:jc w:val="both"/>
              <w:rPr>
                <w:rFonts w:ascii="Roboto" w:eastAsia="Roboto" w:hAnsi="Roboto" w:cs="Arial"/>
                <w:kern w:val="3"/>
                <w:sz w:val="22"/>
                <w:szCs w:val="22"/>
              </w:rPr>
            </w:pPr>
            <w:r w:rsidRPr="00B417E0">
              <w:rPr>
                <w:rFonts w:ascii="Roboto" w:hAnsi="Roboto"/>
                <w:sz w:val="22"/>
              </w:rPr>
              <w:t>Professors de Música i Arts Escèniques</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F3D3205" w14:textId="19D34A91" w:rsidR="00E37A13" w:rsidRPr="00B417E0" w:rsidRDefault="00B417E0" w:rsidP="00666951">
            <w:pPr>
              <w:widowControl/>
              <w:suppressLineNumbers/>
              <w:suppressAutoHyphens w:val="0"/>
              <w:jc w:val="center"/>
              <w:rPr>
                <w:rFonts w:ascii="Roboto" w:eastAsia="Roboto" w:hAnsi="Roboto" w:cs="Roboto"/>
                <w:kern w:val="3"/>
                <w:sz w:val="22"/>
                <w:szCs w:val="22"/>
              </w:rPr>
            </w:pPr>
            <w:r w:rsidRPr="00B417E0">
              <w:rPr>
                <w:rFonts w:ascii="Roboto" w:eastAsia="Roboto" w:hAnsi="Roboto" w:cs="Roboto"/>
                <w:kern w:val="3"/>
                <w:sz w:val="22"/>
                <w:szCs w:val="22"/>
              </w:rPr>
              <w:t>39</w:t>
            </w:r>
          </w:p>
        </w:tc>
      </w:tr>
      <w:tr w:rsidR="00B417E0" w:rsidRPr="00B417E0" w14:paraId="0A046A2E" w14:textId="77777777" w:rsidTr="00666951">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63E5D6AE" w14:textId="77777777" w:rsidR="00E37A13" w:rsidRPr="00B417E0" w:rsidRDefault="00E37A13" w:rsidP="00666951">
            <w:pPr>
              <w:widowControl/>
              <w:suppressLineNumbers/>
              <w:suppressAutoHyphens w:val="0"/>
              <w:jc w:val="both"/>
              <w:rPr>
                <w:rFonts w:ascii="Roboto" w:eastAsia="Roboto" w:hAnsi="Roboto" w:cs="Arial"/>
                <w:kern w:val="3"/>
                <w:sz w:val="22"/>
                <w:szCs w:val="22"/>
              </w:rPr>
            </w:pPr>
            <w:r w:rsidRPr="00B417E0">
              <w:rPr>
                <w:rFonts w:ascii="Roboto" w:hAnsi="Roboto"/>
                <w:sz w:val="22"/>
              </w:rPr>
              <w:t>Professors Arts Plàstiques i Disseny</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369B9AA" w14:textId="0E195237" w:rsidR="00E37A13" w:rsidRPr="00B417E0" w:rsidRDefault="00B417E0" w:rsidP="00666951">
            <w:pPr>
              <w:widowControl/>
              <w:suppressLineNumbers/>
              <w:suppressAutoHyphens w:val="0"/>
              <w:jc w:val="center"/>
              <w:rPr>
                <w:rFonts w:ascii="Roboto" w:eastAsia="Roboto" w:hAnsi="Roboto" w:cs="Roboto"/>
                <w:kern w:val="3"/>
                <w:sz w:val="22"/>
                <w:szCs w:val="22"/>
              </w:rPr>
            </w:pPr>
            <w:r w:rsidRPr="00B417E0">
              <w:rPr>
                <w:rFonts w:ascii="Roboto" w:eastAsia="Roboto" w:hAnsi="Roboto" w:cs="Roboto"/>
                <w:kern w:val="3"/>
                <w:sz w:val="22"/>
                <w:szCs w:val="22"/>
              </w:rPr>
              <w:t>49</w:t>
            </w:r>
          </w:p>
        </w:tc>
      </w:tr>
      <w:tr w:rsidR="00B417E0" w:rsidRPr="00B417E0" w14:paraId="1A0F3C45" w14:textId="77777777" w:rsidTr="00666951">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666A1BC2" w14:textId="77777777" w:rsidR="00E37A13" w:rsidRPr="00B417E0" w:rsidRDefault="00E37A13" w:rsidP="00666951">
            <w:pPr>
              <w:widowControl/>
              <w:suppressLineNumbers/>
              <w:suppressAutoHyphens w:val="0"/>
              <w:jc w:val="both"/>
              <w:rPr>
                <w:rFonts w:ascii="Roboto" w:eastAsia="Roboto" w:hAnsi="Roboto" w:cs="Arial"/>
                <w:kern w:val="3"/>
                <w:sz w:val="22"/>
                <w:szCs w:val="22"/>
              </w:rPr>
            </w:pPr>
            <w:r w:rsidRPr="00B417E0">
              <w:rPr>
                <w:rFonts w:ascii="Roboto" w:hAnsi="Roboto"/>
                <w:sz w:val="22"/>
              </w:rPr>
              <w:t xml:space="preserve">Catedràtics de Música i Arts Escèniques </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FB7D266" w14:textId="7CE8C052" w:rsidR="00E37A13" w:rsidRPr="00B417E0" w:rsidRDefault="00B417E0" w:rsidP="00666951">
            <w:pPr>
              <w:widowControl/>
              <w:suppressLineNumbers/>
              <w:suppressAutoHyphens w:val="0"/>
              <w:jc w:val="center"/>
              <w:rPr>
                <w:rFonts w:ascii="Roboto" w:eastAsia="Roboto" w:hAnsi="Roboto" w:cs="Roboto"/>
                <w:kern w:val="3"/>
                <w:sz w:val="22"/>
                <w:szCs w:val="22"/>
              </w:rPr>
            </w:pPr>
            <w:r w:rsidRPr="00B417E0">
              <w:rPr>
                <w:rFonts w:ascii="Roboto" w:eastAsia="Roboto" w:hAnsi="Roboto" w:cs="Roboto"/>
                <w:kern w:val="3"/>
                <w:sz w:val="22"/>
                <w:szCs w:val="22"/>
              </w:rPr>
              <w:t>10</w:t>
            </w:r>
          </w:p>
        </w:tc>
      </w:tr>
      <w:tr w:rsidR="00E37A13" w:rsidRPr="00B417E0" w14:paraId="05D4F07B" w14:textId="77777777" w:rsidTr="00666951">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5587D2CB" w14:textId="77777777" w:rsidR="00E37A13" w:rsidRPr="00B417E0" w:rsidRDefault="00E37A13" w:rsidP="00666951">
            <w:pPr>
              <w:widowControl/>
              <w:suppressLineNumbers/>
              <w:suppressAutoHyphens w:val="0"/>
              <w:jc w:val="both"/>
              <w:rPr>
                <w:rFonts w:ascii="Roboto" w:eastAsia="Roboto" w:hAnsi="Roboto" w:cs="Roboto"/>
                <w:kern w:val="3"/>
                <w:sz w:val="22"/>
                <w:szCs w:val="22"/>
              </w:rPr>
            </w:pPr>
            <w:r w:rsidRPr="00B417E0">
              <w:rPr>
                <w:rFonts w:ascii="Roboto" w:hAnsi="Roboto"/>
                <w:sz w:val="22"/>
              </w:rPr>
              <w:t>TOTAL</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6AEAAA2" w14:textId="75A33298" w:rsidR="00E37A13" w:rsidRPr="00B417E0" w:rsidRDefault="00B417E0" w:rsidP="00666951">
            <w:pPr>
              <w:widowControl/>
              <w:suppressLineNumbers/>
              <w:suppressAutoHyphens w:val="0"/>
              <w:jc w:val="center"/>
              <w:rPr>
                <w:rFonts w:ascii="Roboto" w:eastAsia="Roboto" w:hAnsi="Roboto" w:cs="Roboto"/>
                <w:kern w:val="3"/>
                <w:sz w:val="22"/>
                <w:szCs w:val="22"/>
              </w:rPr>
            </w:pPr>
            <w:r w:rsidRPr="00B417E0">
              <w:rPr>
                <w:rFonts w:ascii="Roboto" w:eastAsia="Roboto" w:hAnsi="Roboto" w:cs="Roboto"/>
                <w:kern w:val="3"/>
                <w:sz w:val="22"/>
                <w:szCs w:val="22"/>
              </w:rPr>
              <w:t>2.067</w:t>
            </w:r>
          </w:p>
        </w:tc>
      </w:tr>
    </w:tbl>
    <w:p w14:paraId="551A5A2D" w14:textId="77777777" w:rsidR="00E37A13" w:rsidRPr="00B417E0" w:rsidRDefault="00E37A13" w:rsidP="00E37A13">
      <w:pPr>
        <w:rPr>
          <w:rFonts w:ascii="Roboto" w:hAnsi="Roboto"/>
        </w:rPr>
      </w:pPr>
    </w:p>
    <w:p w14:paraId="566AEC99" w14:textId="5F037D0D" w:rsidR="00A502BA" w:rsidRPr="00A060F2" w:rsidRDefault="00A502BA">
      <w:pPr>
        <w:pStyle w:val="Standard"/>
        <w:spacing w:line="240" w:lineRule="atLeast"/>
        <w:jc w:val="both"/>
        <w:rPr>
          <w:rFonts w:ascii="Roboto" w:hAnsi="Roboto" w:cs="Times New Roman"/>
          <w:sz w:val="22"/>
          <w:szCs w:val="22"/>
          <w:lang w:eastAsia="es-ES_tradnl"/>
        </w:rPr>
      </w:pPr>
    </w:p>
    <w:sectPr w:rsidR="00A502BA" w:rsidRPr="00A060F2">
      <w:headerReference w:type="even" r:id="rId7"/>
      <w:headerReference w:type="default" r:id="rId8"/>
      <w:footerReference w:type="even" r:id="rId9"/>
      <w:footerReference w:type="default" r:id="rId10"/>
      <w:headerReference w:type="first" r:id="rId11"/>
      <w:footerReference w:type="first" r:id="rId12"/>
      <w:pgSz w:w="11906" w:h="16838"/>
      <w:pgMar w:top="2902" w:right="1418" w:bottom="1418" w:left="2268" w:header="719"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6CFE" w14:textId="77777777" w:rsidR="009A2BC6" w:rsidRDefault="009A2BC6">
      <w:r>
        <w:separator/>
      </w:r>
    </w:p>
  </w:endnote>
  <w:endnote w:type="continuationSeparator" w:id="0">
    <w:p w14:paraId="29C4F12C" w14:textId="77777777" w:rsidR="009A2BC6" w:rsidRDefault="009A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CA5B" w14:textId="77777777" w:rsidR="001F356F" w:rsidRDefault="001F35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7A47" w14:textId="77777777" w:rsidR="001F356F" w:rsidRDefault="001F35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231E" w14:textId="77777777" w:rsidR="001F356F" w:rsidRDefault="001F35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BFCE" w14:textId="77777777" w:rsidR="009A2BC6" w:rsidRDefault="009A2BC6">
      <w:r>
        <w:rPr>
          <w:color w:val="000000"/>
        </w:rPr>
        <w:separator/>
      </w:r>
    </w:p>
  </w:footnote>
  <w:footnote w:type="continuationSeparator" w:id="0">
    <w:p w14:paraId="70B0ABB5" w14:textId="77777777" w:rsidR="009A2BC6" w:rsidRDefault="009A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044D" w14:textId="0DD9C0CA" w:rsidR="001F356F" w:rsidRDefault="001F356F">
    <w:pPr>
      <w:pStyle w:val="Encabezado"/>
    </w:pPr>
    <w:r>
      <w:rPr>
        <w:noProof/>
      </w:rPr>
      <w:pict w14:anchorId="50FCD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2610" o:spid="_x0000_s1026" type="#_x0000_t136" style="position:absolute;margin-left:0;margin-top:0;width:434.6pt;height:144.85pt;rotation:315;z-index:-251649024;mso-position-horizontal:center;mso-position-horizontal-relative:margin;mso-position-vertical:center;mso-position-vertical-relative:margin" o:allowincell="f" fillcolor="silver" stroked="f">
          <v:fill opacity=".5"/>
          <v:textpath style="font-family:&quot;Calibri&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27AC9857" w:rsidR="00834AAB" w:rsidRDefault="001F356F">
    <w:pPr>
      <w:pStyle w:val="Encabezado"/>
      <w:ind w:left="-993" w:right="851"/>
      <w:jc w:val="right"/>
    </w:pPr>
    <w:r>
      <w:rPr>
        <w:noProof/>
      </w:rPr>
      <w:pict w14:anchorId="1DA39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2611" o:spid="_x0000_s1027" type="#_x0000_t136" style="position:absolute;left:0;text-align:left;margin-left:0;margin-top:0;width:434.6pt;height:144.85pt;rotation:315;z-index:-251646976;mso-position-horizontal:center;mso-position-horizontal-relative:margin;mso-position-vertical:center;mso-position-vertical-relative:margin" o:allowincell="f" fillcolor="silver" stroked="f">
          <v:fill opacity=".5"/>
          <v:textpath style="font-family:&quot;Calibri&quot;;font-size:1pt" string="ESBORRANY"/>
        </v:shape>
      </w:pict>
    </w:r>
    <w:r w:rsidR="00A502BA">
      <w:rPr>
        <w:noProof/>
      </w:rPr>
      <w:drawing>
        <wp:anchor distT="0" distB="0" distL="114300" distR="114300" simplePos="0" relativeHeight="251663360" behindDoc="0" locked="0" layoutInCell="1" allowOverlap="1" wp14:anchorId="0D5BAB94" wp14:editId="5DB5B56D">
          <wp:simplePos x="0" y="0"/>
          <wp:positionH relativeFrom="margin">
            <wp:posOffset>5079365</wp:posOffset>
          </wp:positionH>
          <wp:positionV relativeFrom="paragraph">
            <wp:posOffset>212</wp:posOffset>
          </wp:positionV>
          <wp:extent cx="604800" cy="90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292C2D3F" w:rsidR="00834AAB" w:rsidRDefault="001F356F">
    <w:pPr>
      <w:pStyle w:val="Encabezado"/>
      <w:ind w:left="1985" w:right="851"/>
      <w:rPr>
        <w:rFonts w:ascii="Roboto" w:hAnsi="Roboto" w:cs="Times New Roman"/>
        <w:color w:val="C00000"/>
        <w:sz w:val="16"/>
        <w:szCs w:val="16"/>
      </w:rPr>
    </w:pPr>
    <w:r>
      <w:rPr>
        <w:noProof/>
      </w:rPr>
      <w:pict w14:anchorId="1E11B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2609" o:spid="_x0000_s1025" type="#_x0000_t136" style="position:absolute;left:0;text-align:left;margin-left:0;margin-top:0;width:434.6pt;height:144.85pt;rotation:315;z-index:-251651072;mso-position-horizontal:center;mso-position-horizontal-relative:margin;mso-position-vertical:center;mso-position-vertical-relative:margin" o:allowincell="f" fillcolor="silver" stroked="f">
          <v:fill opacity=".5"/>
          <v:textpath style="font-family:&quot;Calibri&quot;;font-size:1pt" string="ESBORRANY"/>
        </v:shape>
      </w:pict>
    </w:r>
    <w:r w:rsidR="00313F55">
      <w:rPr>
        <w:rFonts w:ascii="Roboto" w:hAnsi="Roboto"/>
        <w:noProof/>
        <w:color w:val="C00000"/>
        <w:sz w:val="16"/>
      </w:rPr>
      <w:drawing>
        <wp:anchor distT="0" distB="0" distL="114300" distR="114300" simplePos="0" relativeHeight="251661312" behindDoc="0" locked="0" layoutInCell="1" allowOverlap="1" wp14:anchorId="225EC87D" wp14:editId="4F51DDC5">
          <wp:simplePos x="0" y="0"/>
          <wp:positionH relativeFrom="column">
            <wp:posOffset>-1155065</wp:posOffset>
          </wp:positionH>
          <wp:positionV relativeFrom="paragraph">
            <wp:posOffset>-237935</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EB2DB5" w14:textId="796944FF" w:rsidR="00834AAB" w:rsidRPr="00C5095E" w:rsidRDefault="00C5095E" w:rsidP="00631FD3">
    <w:pPr>
      <w:pStyle w:val="Standard"/>
      <w:ind w:left="1985"/>
      <w:jc w:val="right"/>
      <w:rPr>
        <w:rFonts w:ascii="Roboto" w:hAnsi="Roboto" w:cs="Times New Roman"/>
        <w:b/>
        <w:color w:val="003DA5"/>
        <w:sz w:val="16"/>
        <w:szCs w:val="16"/>
      </w:rPr>
    </w:pPr>
    <w:r>
      <w:rPr>
        <w:rFonts w:ascii="Roboto" w:hAnsi="Roboto"/>
        <w:b/>
        <w:color w:val="003DA5"/>
        <w:sz w:val="16"/>
      </w:rPr>
      <w:t>DIRECCIÓ GENERAL DE PERSONAL DOCENT</w:t>
    </w:r>
  </w:p>
  <w:p w14:paraId="755E77BA" w14:textId="77777777" w:rsidR="00834AAB" w:rsidRPr="00631FD3" w:rsidRDefault="00834AAB" w:rsidP="00631FD3">
    <w:pPr>
      <w:pStyle w:val="Standar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2240733"/>
    <w:multiLevelType w:val="hybridMultilevel"/>
    <w:tmpl w:val="F2BE11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0"/>
  </w:num>
  <w:num w:numId="2" w16cid:durableId="131679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14E07"/>
    <w:rsid w:val="000A6596"/>
    <w:rsid w:val="000C6C7E"/>
    <w:rsid w:val="001F356F"/>
    <w:rsid w:val="00241A1D"/>
    <w:rsid w:val="0028014D"/>
    <w:rsid w:val="002D22E0"/>
    <w:rsid w:val="00313F55"/>
    <w:rsid w:val="00315C09"/>
    <w:rsid w:val="00376659"/>
    <w:rsid w:val="003A2818"/>
    <w:rsid w:val="003A7F40"/>
    <w:rsid w:val="003D6879"/>
    <w:rsid w:val="003E55C5"/>
    <w:rsid w:val="003E6B30"/>
    <w:rsid w:val="0046026D"/>
    <w:rsid w:val="00460CA1"/>
    <w:rsid w:val="004664CF"/>
    <w:rsid w:val="004E5BCA"/>
    <w:rsid w:val="005B5345"/>
    <w:rsid w:val="00631FD3"/>
    <w:rsid w:val="00652756"/>
    <w:rsid w:val="00680F6E"/>
    <w:rsid w:val="006D6FE8"/>
    <w:rsid w:val="00712C8A"/>
    <w:rsid w:val="007E52C6"/>
    <w:rsid w:val="00834AAB"/>
    <w:rsid w:val="008C31C6"/>
    <w:rsid w:val="00954476"/>
    <w:rsid w:val="009934D4"/>
    <w:rsid w:val="009A2BC6"/>
    <w:rsid w:val="00A060F2"/>
    <w:rsid w:val="00A42074"/>
    <w:rsid w:val="00A502BA"/>
    <w:rsid w:val="00AB127C"/>
    <w:rsid w:val="00B417E0"/>
    <w:rsid w:val="00B806AA"/>
    <w:rsid w:val="00B9717D"/>
    <w:rsid w:val="00BF0CB8"/>
    <w:rsid w:val="00C234B9"/>
    <w:rsid w:val="00C5095E"/>
    <w:rsid w:val="00D573F2"/>
    <w:rsid w:val="00D81C4D"/>
    <w:rsid w:val="00DF5985"/>
    <w:rsid w:val="00E27930"/>
    <w:rsid w:val="00E37A13"/>
    <w:rsid w:val="00EA37C0"/>
    <w:rsid w:val="00F227C3"/>
    <w:rsid w:val="00F32F33"/>
    <w:rsid w:val="00F740F7"/>
    <w:rsid w:val="00FA572B"/>
    <w:rsid w:val="00FB6161"/>
    <w:rsid w:val="00FC3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E37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1370</Words>
  <Characters>7541</Characters>
  <Application>Microsoft Office Word</Application>
  <DocSecurity>0</DocSecurity>
  <Lines>62</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SARRIO MONTES, JUAN PABLO</cp:lastModifiedBy>
  <cp:revision>69</cp:revision>
  <dcterms:created xsi:type="dcterms:W3CDTF">2026-01-29T07:55:00Z</dcterms:created>
  <dcterms:modified xsi:type="dcterms:W3CDTF">2026-03-25T08:53:00Z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