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7E1C" w:rsidRDefault="00000000">
      <w:pPr>
        <w:pStyle w:val="Textbody"/>
        <w:spacing w:after="142" w:line="240" w:lineRule="auto"/>
        <w:ind w:firstLine="0"/>
      </w:pPr>
      <w:r>
        <w:rPr>
          <w:rStyle w:val="StrongEmphasis"/>
          <w:rFonts w:ascii="Arial" w:hAnsi="Arial" w:cs="Arial"/>
          <w:bCs/>
          <w:color w:val="000000"/>
          <w:sz w:val="21"/>
          <w:szCs w:val="21"/>
        </w:rPr>
        <w:t xml:space="preserve">DECRETO     __/2023, de__ </w:t>
      </w:r>
      <w:proofErr w:type="spellStart"/>
      <w:r>
        <w:rPr>
          <w:rStyle w:val="StrongEmphasis"/>
          <w:rFonts w:ascii="Arial" w:hAnsi="Arial" w:cs="Arial"/>
          <w:bCs/>
          <w:color w:val="000000"/>
          <w:sz w:val="21"/>
          <w:szCs w:val="21"/>
        </w:rPr>
        <w:t>de</w:t>
      </w:r>
      <w:proofErr w:type="spellEnd"/>
      <w:r>
        <w:rPr>
          <w:rStyle w:val="StrongEmphasis"/>
          <w:rFonts w:ascii="Arial" w:hAnsi="Arial" w:cs="Arial"/>
          <w:bCs/>
          <w:color w:val="000000"/>
          <w:sz w:val="21"/>
          <w:szCs w:val="21"/>
        </w:rPr>
        <w:t xml:space="preserve"> _____, del Consell, por el que se aprueba la oferta de empleo público de personal docente no universitario dependiente de la Conselleria de Educación, Cultura y Deporte de la Generalitat Valenciana para el año </w:t>
      </w:r>
      <w:r>
        <w:rPr>
          <w:rStyle w:val="StrongEmphasis"/>
          <w:rFonts w:ascii="Arial" w:hAnsi="Arial" w:cs="Arial"/>
          <w:bCs/>
          <w:sz w:val="21"/>
          <w:szCs w:val="21"/>
        </w:rPr>
        <w:t>2023</w:t>
      </w:r>
    </w:p>
    <w:p w:rsidR="00EF7E1C" w:rsidRDefault="00EF7E1C">
      <w:pPr>
        <w:pStyle w:val="Standard"/>
        <w:jc w:val="both"/>
        <w:rPr>
          <w:rFonts w:ascii="Arial" w:hAnsi="Arial" w:cs="Arial"/>
          <w:sz w:val="21"/>
          <w:szCs w:val="21"/>
        </w:rPr>
      </w:pPr>
    </w:p>
    <w:p w:rsidR="00EF7E1C" w:rsidRDefault="00000000">
      <w:pPr>
        <w:pStyle w:val="Standard"/>
        <w:jc w:val="both"/>
      </w:pPr>
      <w:r>
        <w:rPr>
          <w:rStyle w:val="StrongEmphasis"/>
          <w:rFonts w:ascii="Arial" w:hAnsi="Arial"/>
          <w:b w:val="0"/>
          <w:sz w:val="21"/>
          <w:szCs w:val="21"/>
        </w:rPr>
        <w:t>De conformidad con lo previsto en la Ley 9/2022, de 30 de diciembre, de presupuestos de la Generalitat para el ejercicio 2023:</w:t>
      </w:r>
    </w:p>
    <w:p w:rsidR="00EF7E1C" w:rsidRDefault="00EF7E1C">
      <w:pPr>
        <w:pStyle w:val="Standard"/>
        <w:jc w:val="both"/>
        <w:rPr>
          <w:rFonts w:ascii="Arial" w:hAnsi="Arial"/>
          <w:sz w:val="21"/>
          <w:szCs w:val="21"/>
        </w:rPr>
      </w:pPr>
    </w:p>
    <w:p w:rsidR="00EF7E1C" w:rsidRDefault="00000000">
      <w:pPr>
        <w:pStyle w:val="Standard"/>
        <w:spacing w:after="57"/>
        <w:jc w:val="both"/>
      </w:pPr>
      <w:r>
        <w:rPr>
          <w:rStyle w:val="StrongEmphasis"/>
          <w:rFonts w:ascii="Arial" w:hAnsi="Arial"/>
          <w:b w:val="0"/>
          <w:i/>
          <w:iCs/>
          <w:sz w:val="21"/>
          <w:szCs w:val="21"/>
        </w:rPr>
        <w:t>«Artículo 36</w:t>
      </w:r>
      <w:r>
        <w:rPr>
          <w:rStyle w:val="StrongEmphasis"/>
          <w:rFonts w:ascii="Arial" w:hAnsi="Arial"/>
          <w:b w:val="0"/>
          <w:sz w:val="21"/>
          <w:szCs w:val="21"/>
        </w:rPr>
        <w:t xml:space="preserve">. </w:t>
      </w:r>
      <w:r>
        <w:rPr>
          <w:rStyle w:val="StrongEmphasis"/>
          <w:rFonts w:ascii="Arial" w:hAnsi="Arial"/>
          <w:b w:val="0"/>
          <w:i/>
          <w:iCs/>
          <w:sz w:val="21"/>
          <w:szCs w:val="21"/>
        </w:rPr>
        <w:t>De la oferta de empleo público u otro instrumento similar de gestión de la provisión de necesidades de personal.</w:t>
      </w:r>
    </w:p>
    <w:p w:rsidR="00EF7E1C" w:rsidRDefault="00000000">
      <w:pPr>
        <w:pStyle w:val="Standard"/>
        <w:spacing w:after="57"/>
        <w:jc w:val="both"/>
      </w:pPr>
      <w:r>
        <w:rPr>
          <w:rStyle w:val="StrongEmphasis"/>
          <w:rFonts w:ascii="Arial" w:hAnsi="Arial"/>
          <w:b w:val="0"/>
          <w:i/>
          <w:iCs/>
          <w:sz w:val="21"/>
          <w:szCs w:val="21"/>
        </w:rPr>
        <w:t>Uno. Oferta de Empleo Público.</w:t>
      </w:r>
    </w:p>
    <w:p w:rsidR="00EF7E1C" w:rsidRDefault="00000000">
      <w:pPr>
        <w:pStyle w:val="Standard"/>
        <w:spacing w:after="57"/>
        <w:jc w:val="both"/>
      </w:pPr>
      <w:r>
        <w:rPr>
          <w:rStyle w:val="StrongEmphasis"/>
          <w:rFonts w:ascii="Arial" w:hAnsi="Arial"/>
          <w:b w:val="0"/>
          <w:i/>
          <w:iCs/>
          <w:sz w:val="21"/>
          <w:szCs w:val="21"/>
        </w:rPr>
        <w:t>1. La incorporación de personal de nuevo ingreso con una relación indefinida en el sector público de la Generalitat, a excepción de las instituciones a que se refieren los apartados a y b del artículo 27 de esta ley, se llevará a cabo a través de la Oferta de Empleo Público, como la plasmación del ejercicio de la planificación en un marco plurianual. [...]</w:t>
      </w:r>
    </w:p>
    <w:p w:rsidR="00EF7E1C" w:rsidRDefault="00000000">
      <w:pPr>
        <w:pStyle w:val="Standard"/>
        <w:spacing w:after="57"/>
        <w:jc w:val="both"/>
      </w:pPr>
      <w:r>
        <w:rPr>
          <w:rStyle w:val="StrongEmphasis"/>
          <w:rFonts w:ascii="Arial" w:hAnsi="Arial"/>
          <w:b w:val="0"/>
          <w:i/>
          <w:iCs/>
          <w:sz w:val="21"/>
          <w:szCs w:val="21"/>
        </w:rPr>
        <w:t xml:space="preserve"> 3. La configuración concreta de la Oferta de Empleo Público se llevará a cabo a través de la tasa de reposición de efectivos, instrumento con el que se concreta la planificación y se le otorga dimensión en términos de efectivos con respecto de la plantilla actual, así como a través del resto de medidas contenidas en este artículo.</w:t>
      </w:r>
    </w:p>
    <w:p w:rsidR="00EF7E1C" w:rsidRDefault="00000000">
      <w:pPr>
        <w:pStyle w:val="Standard"/>
        <w:spacing w:after="57"/>
        <w:jc w:val="both"/>
      </w:pPr>
      <w:r>
        <w:rPr>
          <w:rStyle w:val="StrongEmphasis"/>
          <w:rFonts w:ascii="Arial" w:hAnsi="Arial"/>
          <w:b w:val="0"/>
          <w:i/>
          <w:iCs/>
          <w:sz w:val="21"/>
          <w:szCs w:val="21"/>
        </w:rPr>
        <w:t>Dos. Articulación de la Oferta de Empleo Público.</w:t>
      </w:r>
    </w:p>
    <w:p w:rsidR="00EF7E1C" w:rsidRDefault="00000000">
      <w:pPr>
        <w:pStyle w:val="Standard"/>
        <w:spacing w:after="57"/>
        <w:jc w:val="both"/>
      </w:pPr>
      <w:r>
        <w:rPr>
          <w:rStyle w:val="StrongEmphasis"/>
          <w:rFonts w:ascii="Arial" w:hAnsi="Arial"/>
          <w:b w:val="0"/>
          <w:i/>
          <w:iCs/>
          <w:sz w:val="21"/>
          <w:szCs w:val="21"/>
        </w:rPr>
        <w:t>1. La Oferta de Empleo Público se articulará a través de las siguientes tasas de reposición de efectivos:</w:t>
      </w:r>
    </w:p>
    <w:p w:rsidR="00EF7E1C" w:rsidRDefault="00000000">
      <w:pPr>
        <w:pStyle w:val="Standard"/>
        <w:spacing w:after="57"/>
        <w:jc w:val="both"/>
      </w:pPr>
      <w:r>
        <w:rPr>
          <w:rStyle w:val="StrongEmphasis"/>
          <w:rFonts w:ascii="Arial" w:hAnsi="Arial"/>
          <w:b w:val="0"/>
          <w:i/>
          <w:iCs/>
          <w:sz w:val="21"/>
          <w:szCs w:val="21"/>
        </w:rPr>
        <w:t>a) En los sectores prioritarios la tasa será del 120 por cien y en los demás del 110 por cien.</w:t>
      </w:r>
    </w:p>
    <w:p w:rsidR="00EF7E1C" w:rsidRDefault="00000000">
      <w:pPr>
        <w:pStyle w:val="Standard"/>
        <w:spacing w:after="57"/>
        <w:jc w:val="both"/>
      </w:pPr>
      <w:r>
        <w:rPr>
          <w:rStyle w:val="StrongEmphasis"/>
          <w:rFonts w:ascii="Arial" w:hAnsi="Arial"/>
          <w:b w:val="0"/>
          <w:i/>
          <w:iCs/>
          <w:sz w:val="21"/>
          <w:szCs w:val="21"/>
        </w:rPr>
        <w:t>b) La tasa especifica, en los términos previstos en el apartado Dos.4</w:t>
      </w:r>
    </w:p>
    <w:p w:rsidR="00EF7E1C" w:rsidRDefault="00000000">
      <w:pPr>
        <w:pStyle w:val="Standard"/>
        <w:spacing w:after="57"/>
        <w:jc w:val="both"/>
      </w:pPr>
      <w:r>
        <w:rPr>
          <w:rStyle w:val="StrongEmphasis"/>
          <w:rFonts w:ascii="Arial" w:hAnsi="Arial"/>
          <w:b w:val="0"/>
          <w:i/>
          <w:iCs/>
          <w:sz w:val="21"/>
          <w:szCs w:val="21"/>
        </w:rPr>
        <w:t>Lo establecido en los párrafos anteriores se entiende sin perjuicio de los procesos de estabilización derivados de la Ley 20/2021, de 28 de diciembre, de medidas urgentes para la reducción de la temporalidad en el empleo público, o de normas anteriores.</w:t>
      </w:r>
    </w:p>
    <w:p w:rsidR="00EF7E1C" w:rsidRDefault="00000000">
      <w:pPr>
        <w:pStyle w:val="Standard"/>
        <w:spacing w:after="57"/>
        <w:jc w:val="both"/>
      </w:pPr>
      <w:r>
        <w:rPr>
          <w:rStyle w:val="StrongEmphasis"/>
          <w:rFonts w:ascii="Arial" w:hAnsi="Arial"/>
          <w:b w:val="0"/>
          <w:i/>
          <w:iCs/>
          <w:sz w:val="21"/>
          <w:szCs w:val="21"/>
        </w:rPr>
        <w:t xml:space="preserve"> El resultado de la aplicación de las tasas de reposición de efectivos prevista en este artículo deberá incluirse en una única Oferta de Empleo </w:t>
      </w:r>
      <w:proofErr w:type="gramStart"/>
      <w:r>
        <w:rPr>
          <w:rStyle w:val="StrongEmphasis"/>
          <w:rFonts w:ascii="Arial" w:hAnsi="Arial"/>
          <w:b w:val="0"/>
          <w:i/>
          <w:iCs/>
          <w:sz w:val="21"/>
          <w:szCs w:val="21"/>
        </w:rPr>
        <w:t>Público.[...]</w:t>
      </w:r>
      <w:proofErr w:type="gramEnd"/>
    </w:p>
    <w:p w:rsidR="00EF7E1C" w:rsidRDefault="00000000">
      <w:pPr>
        <w:pStyle w:val="Standard"/>
        <w:spacing w:after="57"/>
        <w:jc w:val="both"/>
      </w:pPr>
      <w:r>
        <w:rPr>
          <w:rStyle w:val="StrongEmphasis"/>
          <w:rFonts w:ascii="Arial" w:hAnsi="Arial"/>
          <w:b w:val="0"/>
          <w:i/>
          <w:iCs/>
          <w:sz w:val="21"/>
          <w:szCs w:val="21"/>
        </w:rPr>
        <w:t>3. Se consideran sectores prioritarios a efectos de la tasa de reposición:</w:t>
      </w:r>
    </w:p>
    <w:p w:rsidR="00EF7E1C" w:rsidRDefault="00000000">
      <w:pPr>
        <w:pStyle w:val="Standard"/>
        <w:spacing w:after="57"/>
        <w:jc w:val="both"/>
      </w:pPr>
      <w:r>
        <w:rPr>
          <w:rStyle w:val="StrongEmphasis"/>
          <w:rFonts w:ascii="Arial" w:hAnsi="Arial"/>
          <w:b w:val="0"/>
          <w:i/>
          <w:iCs/>
          <w:sz w:val="21"/>
          <w:szCs w:val="21"/>
        </w:rPr>
        <w:t>a) Administración educativa, nivel enseñanzas no universitarias, en relación con la determinación del número de plazas para el acceso a los cuerpos de funcionarios docentes.  [...]»</w:t>
      </w:r>
    </w:p>
    <w:p w:rsidR="00EF7E1C" w:rsidRDefault="00EF7E1C">
      <w:pPr>
        <w:pStyle w:val="Standard"/>
        <w:spacing w:after="57"/>
        <w:jc w:val="both"/>
      </w:pPr>
    </w:p>
    <w:p w:rsidR="00EF7E1C" w:rsidRDefault="00000000">
      <w:pPr>
        <w:pStyle w:val="Standard"/>
        <w:spacing w:after="57"/>
        <w:jc w:val="both"/>
      </w:pPr>
      <w:r>
        <w:rPr>
          <w:rFonts w:ascii="Arial" w:hAnsi="Arial" w:cs="Arial"/>
          <w:sz w:val="21"/>
          <w:szCs w:val="21"/>
        </w:rPr>
        <w:t>En relación con ello, la Ley 31/2022, de 30 de diciembre, de Presupuestos Generales del Estado para el año 2023 establece:</w:t>
      </w:r>
    </w:p>
    <w:p w:rsidR="00EF7E1C" w:rsidRDefault="00000000">
      <w:pPr>
        <w:pStyle w:val="Standard"/>
        <w:spacing w:after="57"/>
        <w:jc w:val="both"/>
      </w:pPr>
      <w:r>
        <w:t>“Artículo 20. Oferta de Empleo Público, contratos y nombramientos temporales del personal del sector público.</w:t>
      </w:r>
    </w:p>
    <w:p w:rsidR="00EF7E1C" w:rsidRDefault="00000000">
      <w:pPr>
        <w:pStyle w:val="Textbody"/>
        <w:ind w:firstLine="0"/>
        <w:rPr>
          <w:rFonts w:ascii="Arial" w:hAnsi="Arial"/>
          <w:i/>
          <w:iCs/>
          <w:color w:val="000000"/>
          <w:sz w:val="21"/>
          <w:szCs w:val="21"/>
        </w:rPr>
      </w:pPr>
      <w:r>
        <w:rPr>
          <w:rFonts w:ascii="Arial" w:hAnsi="Arial"/>
          <w:i/>
          <w:iCs/>
          <w:color w:val="000000"/>
          <w:sz w:val="21"/>
          <w:szCs w:val="21"/>
        </w:rPr>
        <w:t>Uno. Oferta de Empleo Público.</w:t>
      </w:r>
    </w:p>
    <w:p w:rsidR="00EF7E1C" w:rsidRDefault="00000000">
      <w:pPr>
        <w:pStyle w:val="Textbody"/>
        <w:tabs>
          <w:tab w:val="left" w:pos="2773"/>
        </w:tabs>
        <w:ind w:firstLine="0"/>
        <w:rPr>
          <w:rFonts w:ascii="Arial" w:hAnsi="Arial"/>
          <w:i/>
          <w:iCs/>
          <w:color w:val="000000"/>
          <w:sz w:val="21"/>
          <w:szCs w:val="21"/>
        </w:rPr>
      </w:pPr>
      <w:r>
        <w:rPr>
          <w:rFonts w:ascii="Arial" w:hAnsi="Arial"/>
          <w:i/>
          <w:iCs/>
          <w:color w:val="000000"/>
          <w:sz w:val="21"/>
          <w:szCs w:val="21"/>
        </w:rPr>
        <w:t xml:space="preserve">1. La incorporación de personal de nuevo ingreso con una relación indefinida en el sector público, a excepción de los órganos contemplados en el apartado </w:t>
      </w:r>
      <w:proofErr w:type="spellStart"/>
      <w:r>
        <w:rPr>
          <w:rFonts w:ascii="Arial" w:hAnsi="Arial"/>
          <w:i/>
          <w:iCs/>
          <w:color w:val="000000"/>
          <w:sz w:val="21"/>
          <w:szCs w:val="21"/>
        </w:rPr>
        <w:t>Uno.e</w:t>
      </w:r>
      <w:proofErr w:type="spellEnd"/>
      <w:r>
        <w:rPr>
          <w:rFonts w:ascii="Arial" w:hAnsi="Arial"/>
          <w:i/>
          <w:iCs/>
          <w:color w:val="000000"/>
          <w:sz w:val="21"/>
          <w:szCs w:val="21"/>
        </w:rPr>
        <w:t xml:space="preserve">) del artículo anterior, se llevará a cabo a través de la Oferta de Empleo Público, como plasmación del ejercicio de la planificación en un marco </w:t>
      </w:r>
      <w:proofErr w:type="gramStart"/>
      <w:r>
        <w:rPr>
          <w:rFonts w:ascii="Arial" w:hAnsi="Arial"/>
          <w:i/>
          <w:iCs/>
          <w:color w:val="000000"/>
          <w:sz w:val="21"/>
          <w:szCs w:val="21"/>
        </w:rPr>
        <w:t>plurianual.</w:t>
      </w:r>
      <w:r>
        <w:rPr>
          <w:rStyle w:val="StrongEmphasis"/>
          <w:b w:val="0"/>
        </w:rPr>
        <w:t>[...]</w:t>
      </w:r>
      <w:proofErr w:type="gramEnd"/>
    </w:p>
    <w:p w:rsidR="00EF7E1C" w:rsidRDefault="00000000">
      <w:pPr>
        <w:pStyle w:val="Textbody"/>
        <w:tabs>
          <w:tab w:val="left" w:pos="2773"/>
        </w:tabs>
        <w:ind w:firstLine="0"/>
        <w:rPr>
          <w:rFonts w:ascii="Arial" w:hAnsi="Arial"/>
          <w:i/>
          <w:iCs/>
          <w:color w:val="000000"/>
          <w:sz w:val="21"/>
          <w:szCs w:val="21"/>
        </w:rPr>
      </w:pPr>
      <w:r>
        <w:rPr>
          <w:rFonts w:ascii="Arial" w:hAnsi="Arial"/>
          <w:i/>
          <w:iCs/>
          <w:color w:val="000000"/>
          <w:sz w:val="21"/>
          <w:szCs w:val="21"/>
        </w:rPr>
        <w:lastRenderedPageBreak/>
        <w:t>3. La configuración concreta de la Oferta de Empleo Público se llevará a cabo a través de la tasa de reposición de efectivos, instrumento con el que se concreta la planificación y se le otorga dimensión en términos de efectivos con respecto de la plantilla actual, así como a través del resto de medidas contenidas en este artículo.</w:t>
      </w:r>
    </w:p>
    <w:p w:rsidR="00EF7E1C" w:rsidRDefault="00000000">
      <w:pPr>
        <w:pStyle w:val="Textbody"/>
        <w:tabs>
          <w:tab w:val="left" w:pos="2773"/>
        </w:tabs>
        <w:ind w:firstLine="0"/>
        <w:rPr>
          <w:rFonts w:ascii="Arial" w:hAnsi="Arial"/>
          <w:i/>
          <w:iCs/>
          <w:color w:val="000000"/>
          <w:sz w:val="21"/>
          <w:szCs w:val="21"/>
        </w:rPr>
      </w:pPr>
      <w:r>
        <w:rPr>
          <w:rFonts w:ascii="Arial" w:hAnsi="Arial"/>
          <w:i/>
          <w:iCs/>
          <w:color w:val="000000"/>
          <w:sz w:val="21"/>
          <w:szCs w:val="21"/>
        </w:rPr>
        <w:t>Dos. Articulación de la Oferta de Empleo Público.</w:t>
      </w:r>
    </w:p>
    <w:p w:rsidR="00EF7E1C" w:rsidRDefault="00000000">
      <w:pPr>
        <w:pStyle w:val="Textbody"/>
        <w:tabs>
          <w:tab w:val="left" w:pos="2773"/>
        </w:tabs>
        <w:ind w:firstLine="0"/>
        <w:rPr>
          <w:rFonts w:ascii="Arial" w:hAnsi="Arial"/>
          <w:i/>
          <w:iCs/>
          <w:color w:val="000000"/>
          <w:sz w:val="21"/>
          <w:szCs w:val="21"/>
        </w:rPr>
      </w:pPr>
      <w:r>
        <w:rPr>
          <w:rFonts w:ascii="Arial" w:hAnsi="Arial"/>
          <w:i/>
          <w:iCs/>
          <w:color w:val="000000"/>
          <w:sz w:val="21"/>
          <w:szCs w:val="21"/>
        </w:rPr>
        <w:t>1. La Oferta de Empleo Público se articulará a través de las siguientes tasas de reposición de efectivos:</w:t>
      </w:r>
    </w:p>
    <w:p w:rsidR="00EF7E1C" w:rsidRDefault="00000000">
      <w:pPr>
        <w:pStyle w:val="Textbody"/>
        <w:tabs>
          <w:tab w:val="left" w:pos="2773"/>
        </w:tabs>
        <w:ind w:firstLine="0"/>
        <w:rPr>
          <w:rFonts w:ascii="Arial" w:hAnsi="Arial"/>
          <w:i/>
          <w:iCs/>
          <w:color w:val="000000"/>
          <w:sz w:val="21"/>
          <w:szCs w:val="21"/>
        </w:rPr>
      </w:pPr>
      <w:r>
        <w:rPr>
          <w:rFonts w:ascii="Arial" w:hAnsi="Arial"/>
          <w:i/>
          <w:iCs/>
          <w:color w:val="000000"/>
          <w:sz w:val="21"/>
          <w:szCs w:val="21"/>
        </w:rPr>
        <w:t xml:space="preserve">a) En los sectores prioritarios la tasa será del 120 por cien y en los demás sectores del 110 por </w:t>
      </w:r>
      <w:proofErr w:type="gramStart"/>
      <w:r>
        <w:rPr>
          <w:rFonts w:ascii="Arial" w:hAnsi="Arial"/>
          <w:i/>
          <w:iCs/>
          <w:color w:val="000000"/>
          <w:sz w:val="21"/>
          <w:szCs w:val="21"/>
        </w:rPr>
        <w:t>cien.</w:t>
      </w:r>
      <w:r>
        <w:rPr>
          <w:rStyle w:val="StrongEmphasis"/>
          <w:b w:val="0"/>
        </w:rPr>
        <w:t>[...]</w:t>
      </w:r>
      <w:proofErr w:type="gramEnd"/>
    </w:p>
    <w:p w:rsidR="00EF7E1C" w:rsidRDefault="00000000">
      <w:pPr>
        <w:pStyle w:val="Textbody"/>
        <w:tabs>
          <w:tab w:val="left" w:pos="909"/>
        </w:tabs>
        <w:ind w:firstLine="0"/>
        <w:rPr>
          <w:rFonts w:ascii="Arial" w:hAnsi="Arial"/>
          <w:i/>
          <w:iCs/>
          <w:color w:val="000000"/>
          <w:sz w:val="21"/>
          <w:szCs w:val="21"/>
        </w:rPr>
      </w:pPr>
      <w:r>
        <w:rPr>
          <w:rFonts w:ascii="Arial" w:hAnsi="Arial"/>
          <w:i/>
          <w:iCs/>
          <w:color w:val="000000"/>
          <w:sz w:val="21"/>
          <w:szCs w:val="21"/>
        </w:rPr>
        <w:t>3. Se consideran sectores prioritarios a efectos de la tasa de reposición:</w:t>
      </w:r>
    </w:p>
    <w:p w:rsidR="00EF7E1C" w:rsidRDefault="00000000">
      <w:pPr>
        <w:pStyle w:val="Textbody"/>
        <w:tabs>
          <w:tab w:val="left" w:pos="909"/>
        </w:tabs>
        <w:ind w:firstLine="0"/>
      </w:pPr>
      <w:r>
        <w:rPr>
          <w:rFonts w:ascii="Arial" w:hAnsi="Arial"/>
          <w:i/>
          <w:iCs/>
          <w:color w:val="000000"/>
          <w:sz w:val="21"/>
          <w:szCs w:val="21"/>
        </w:rPr>
        <w:t xml:space="preserve">A) Administraciones Públicas con competencias educativas para el desarrollo de la Ley Orgánica 2/2006, de 3 de mayo, de Educación, en relación con la determinación del número de plazas para el acceso a los cuerpos de funcionarios </w:t>
      </w:r>
      <w:proofErr w:type="gramStart"/>
      <w:r>
        <w:rPr>
          <w:rFonts w:ascii="Arial" w:hAnsi="Arial"/>
          <w:i/>
          <w:iCs/>
          <w:color w:val="000000"/>
          <w:sz w:val="21"/>
          <w:szCs w:val="21"/>
        </w:rPr>
        <w:t>docentes.</w:t>
      </w:r>
      <w:r>
        <w:rPr>
          <w:rStyle w:val="StrongEmphasis"/>
          <w:rFonts w:ascii="Arial" w:hAnsi="Arial"/>
          <w:b w:val="0"/>
          <w:i/>
          <w:iCs/>
          <w:color w:val="000000"/>
          <w:sz w:val="21"/>
          <w:szCs w:val="21"/>
        </w:rPr>
        <w:t>[...]</w:t>
      </w:r>
      <w:proofErr w:type="gramEnd"/>
      <w:r>
        <w:rPr>
          <w:rStyle w:val="StrongEmphasis"/>
          <w:rFonts w:ascii="Arial" w:hAnsi="Arial"/>
          <w:b w:val="0"/>
          <w:i/>
          <w:iCs/>
          <w:color w:val="000000"/>
          <w:sz w:val="21"/>
          <w:szCs w:val="21"/>
        </w:rPr>
        <w:t>»</w:t>
      </w:r>
    </w:p>
    <w:p w:rsidR="00EF7E1C" w:rsidRDefault="00000000">
      <w:pPr>
        <w:pStyle w:val="Standard"/>
        <w:spacing w:before="57" w:after="57"/>
        <w:jc w:val="both"/>
      </w:pPr>
      <w:r>
        <w:rPr>
          <w:rFonts w:ascii="Arial" w:hAnsi="Arial"/>
          <w:sz w:val="21"/>
          <w:szCs w:val="21"/>
        </w:rPr>
        <w:t xml:space="preserve">El artículo 55 de la Ley 4/2021, de 16 de abril, de la </w:t>
      </w:r>
      <w:proofErr w:type="spellStart"/>
      <w:proofErr w:type="gramStart"/>
      <w:r>
        <w:rPr>
          <w:rFonts w:ascii="Arial" w:hAnsi="Arial"/>
          <w:sz w:val="21"/>
          <w:szCs w:val="21"/>
        </w:rPr>
        <w:t>Generalitat,de</w:t>
      </w:r>
      <w:proofErr w:type="spellEnd"/>
      <w:proofErr w:type="gramEnd"/>
      <w:r>
        <w:rPr>
          <w:rFonts w:ascii="Arial" w:hAnsi="Arial"/>
          <w:sz w:val="21"/>
          <w:szCs w:val="21"/>
        </w:rPr>
        <w:t xml:space="preserve"> la Función Pública Valenciana, dispone que, aprobada la oferta de empleo público, se convocarán, en el plazo máximo fijado en la misma, los correspondientes procedimientos selectivos para la cobertura de las vacantes incluidas, y hasta un veinte por ciento adicional.</w:t>
      </w:r>
    </w:p>
    <w:p w:rsidR="00EF7E1C" w:rsidRDefault="00000000">
      <w:pPr>
        <w:pStyle w:val="Standard"/>
        <w:spacing w:before="57" w:after="57"/>
        <w:jc w:val="both"/>
      </w:pPr>
      <w:r>
        <w:rPr>
          <w:rFonts w:ascii="Arial" w:hAnsi="Arial" w:cs="Arial"/>
          <w:sz w:val="21"/>
          <w:szCs w:val="21"/>
        </w:rPr>
        <w:t xml:space="preserve">Por todo ello, a propuesta de la consellera de Educación, Cultura y Deporte, previa negociación con los sindicatos de la enseñanza representados en la Mesa Sectorial, una vez informado favorablemente por la Conselleria de Hacienda y Modelo Económico y previa deliberación del Consell, en la reunión del día </w:t>
      </w:r>
      <w:proofErr w:type="spellStart"/>
      <w:r>
        <w:rPr>
          <w:rFonts w:ascii="Arial" w:hAnsi="Arial" w:cs="Arial"/>
          <w:sz w:val="21"/>
          <w:szCs w:val="21"/>
        </w:rPr>
        <w:t>xx</w:t>
      </w:r>
      <w:proofErr w:type="spellEnd"/>
      <w:r>
        <w:rPr>
          <w:rFonts w:ascii="Arial" w:hAnsi="Arial" w:cs="Arial"/>
          <w:sz w:val="21"/>
          <w:szCs w:val="21"/>
        </w:rPr>
        <w:t xml:space="preserve"> de </w:t>
      </w:r>
      <w:proofErr w:type="spellStart"/>
      <w:proofErr w:type="gramStart"/>
      <w:r>
        <w:rPr>
          <w:rFonts w:ascii="Arial" w:hAnsi="Arial" w:cs="Arial"/>
          <w:sz w:val="21"/>
          <w:szCs w:val="21"/>
        </w:rPr>
        <w:t>xxxxxx</w:t>
      </w:r>
      <w:proofErr w:type="spellEnd"/>
      <w:r>
        <w:rPr>
          <w:rFonts w:ascii="Arial" w:hAnsi="Arial" w:cs="Arial"/>
          <w:sz w:val="21"/>
          <w:szCs w:val="21"/>
        </w:rPr>
        <w:t xml:space="preserve">  de</w:t>
      </w:r>
      <w:proofErr w:type="gramEnd"/>
      <w:r>
        <w:rPr>
          <w:rFonts w:ascii="Arial" w:hAnsi="Arial" w:cs="Arial"/>
          <w:sz w:val="21"/>
          <w:szCs w:val="21"/>
        </w:rPr>
        <w:t xml:space="preserve"> 2023,</w:t>
      </w:r>
    </w:p>
    <w:p w:rsidR="00EF7E1C" w:rsidRDefault="00EF7E1C">
      <w:pPr>
        <w:pStyle w:val="Standard"/>
        <w:jc w:val="both"/>
        <w:rPr>
          <w:rFonts w:ascii="Arial" w:hAnsi="Arial"/>
          <w:sz w:val="21"/>
          <w:szCs w:val="21"/>
          <w:shd w:val="clear" w:color="auto" w:fill="FFFFA6"/>
        </w:rPr>
      </w:pPr>
    </w:p>
    <w:p w:rsidR="00EF7E1C" w:rsidRDefault="00000000">
      <w:pPr>
        <w:pStyle w:val="Standard"/>
        <w:jc w:val="center"/>
        <w:rPr>
          <w:rFonts w:ascii="Arial" w:hAnsi="Arial"/>
          <w:b/>
          <w:bCs/>
          <w:sz w:val="21"/>
          <w:szCs w:val="21"/>
        </w:rPr>
      </w:pPr>
      <w:r>
        <w:rPr>
          <w:rFonts w:ascii="Arial" w:hAnsi="Arial"/>
          <w:b/>
          <w:bCs/>
          <w:sz w:val="21"/>
          <w:szCs w:val="21"/>
        </w:rPr>
        <w:t>DECRETO</w:t>
      </w:r>
    </w:p>
    <w:p w:rsidR="00EF7E1C" w:rsidRDefault="00EF7E1C">
      <w:pPr>
        <w:pStyle w:val="Standard"/>
        <w:jc w:val="both"/>
        <w:rPr>
          <w:rFonts w:ascii="Arial" w:hAnsi="Arial"/>
          <w:sz w:val="21"/>
          <w:szCs w:val="21"/>
        </w:rPr>
      </w:pPr>
    </w:p>
    <w:p w:rsidR="00EF7E1C" w:rsidRDefault="00000000">
      <w:pPr>
        <w:pStyle w:val="Standard"/>
        <w:spacing w:after="57"/>
        <w:jc w:val="both"/>
        <w:rPr>
          <w:rFonts w:ascii="Arial" w:hAnsi="Arial"/>
          <w:b/>
          <w:bCs/>
          <w:sz w:val="21"/>
          <w:szCs w:val="21"/>
        </w:rPr>
      </w:pPr>
      <w:r>
        <w:rPr>
          <w:rFonts w:ascii="Arial" w:hAnsi="Arial"/>
          <w:b/>
          <w:bCs/>
          <w:sz w:val="21"/>
          <w:szCs w:val="21"/>
        </w:rPr>
        <w:t>Artículo 1. De la oferta de empleo público</w:t>
      </w:r>
    </w:p>
    <w:p w:rsidR="00EF7E1C" w:rsidRDefault="00000000">
      <w:pPr>
        <w:pStyle w:val="Standard"/>
        <w:jc w:val="both"/>
      </w:pPr>
      <w:r>
        <w:rPr>
          <w:rFonts w:ascii="Arial" w:hAnsi="Arial" w:cs="Arial"/>
          <w:sz w:val="21"/>
          <w:szCs w:val="21"/>
        </w:rPr>
        <w:t>Se aprueba la oferta de empleo público de personal docente no universitario correspondiente a 2023 en los términos que se establecen en el presente decreto.</w:t>
      </w:r>
    </w:p>
    <w:p w:rsidR="00EF7E1C" w:rsidRDefault="00EF7E1C">
      <w:pPr>
        <w:pStyle w:val="Standard"/>
        <w:jc w:val="both"/>
        <w:rPr>
          <w:rFonts w:ascii="Arial" w:hAnsi="Arial"/>
          <w:b/>
          <w:bCs/>
          <w:i/>
          <w:iCs/>
          <w:sz w:val="21"/>
          <w:szCs w:val="21"/>
        </w:rPr>
      </w:pPr>
    </w:p>
    <w:p w:rsidR="00EF7E1C" w:rsidRDefault="00000000">
      <w:pPr>
        <w:pStyle w:val="Standard"/>
        <w:spacing w:after="57"/>
        <w:jc w:val="both"/>
        <w:rPr>
          <w:rFonts w:ascii="Arial" w:hAnsi="Arial"/>
          <w:sz w:val="21"/>
          <w:szCs w:val="21"/>
        </w:rPr>
      </w:pPr>
      <w:r>
        <w:rPr>
          <w:rFonts w:ascii="Arial" w:hAnsi="Arial"/>
          <w:b/>
          <w:bCs/>
          <w:sz w:val="21"/>
          <w:szCs w:val="21"/>
        </w:rPr>
        <w:t>Artículo 2. Plazas ofertadas de ingreso</w:t>
      </w:r>
    </w:p>
    <w:p w:rsidR="00EF7E1C" w:rsidRDefault="00000000">
      <w:pPr>
        <w:pStyle w:val="Standard"/>
        <w:spacing w:after="57"/>
        <w:jc w:val="both"/>
        <w:rPr>
          <w:rFonts w:ascii="Arial" w:hAnsi="Arial"/>
          <w:sz w:val="21"/>
          <w:szCs w:val="21"/>
        </w:rPr>
      </w:pPr>
      <w:r>
        <w:rPr>
          <w:rFonts w:ascii="Arial" w:hAnsi="Arial" w:cs="Arial"/>
          <w:sz w:val="21"/>
          <w:szCs w:val="21"/>
          <w:shd w:val="clear" w:color="auto" w:fill="FFFFFF"/>
        </w:rPr>
        <w:t>En esta oferta de empleo público se incluyen 1.695 plazas correspondientes al turno de ingreso libre detalladas en el anexo I.</w:t>
      </w:r>
    </w:p>
    <w:p w:rsidR="00EF7E1C" w:rsidRDefault="00EF7E1C">
      <w:pPr>
        <w:pStyle w:val="Standard"/>
        <w:spacing w:after="57"/>
        <w:jc w:val="both"/>
        <w:rPr>
          <w:rFonts w:ascii="Arial" w:hAnsi="Arial" w:cs="Arial"/>
          <w:sz w:val="21"/>
          <w:szCs w:val="21"/>
          <w:shd w:val="clear" w:color="auto" w:fill="FFFFFF"/>
        </w:rPr>
      </w:pPr>
    </w:p>
    <w:p w:rsidR="00EF7E1C" w:rsidRDefault="00000000">
      <w:pPr>
        <w:pStyle w:val="Standard"/>
        <w:spacing w:after="57"/>
        <w:jc w:val="both"/>
      </w:pPr>
      <w:r>
        <w:rPr>
          <w:rFonts w:ascii="Arial" w:hAnsi="Arial" w:cs="Arial"/>
          <w:b/>
          <w:sz w:val="21"/>
          <w:szCs w:val="21"/>
          <w:shd w:val="clear" w:color="auto" w:fill="FFFFFF"/>
        </w:rPr>
        <w:t>Artículo 3. Plazas ofertadas por el procedimiento de acceso a cuerpo superior</w:t>
      </w:r>
    </w:p>
    <w:p w:rsidR="00EF7E1C" w:rsidRDefault="00000000">
      <w:pPr>
        <w:pStyle w:val="Standard"/>
        <w:spacing w:after="57"/>
        <w:jc w:val="both"/>
        <w:rPr>
          <w:rFonts w:ascii="Arial" w:hAnsi="Arial" w:cs="Arial"/>
          <w:sz w:val="21"/>
          <w:szCs w:val="21"/>
          <w:shd w:val="clear" w:color="auto" w:fill="FFFFFF"/>
        </w:rPr>
      </w:pPr>
      <w:r>
        <w:rPr>
          <w:rFonts w:ascii="Arial" w:hAnsi="Arial" w:cs="Arial"/>
          <w:sz w:val="21"/>
          <w:szCs w:val="21"/>
          <w:shd w:val="clear" w:color="auto" w:fill="FFFFFF"/>
        </w:rPr>
        <w:t xml:space="preserve">Se incluyen </w:t>
      </w:r>
      <w:proofErr w:type="spellStart"/>
      <w:r>
        <w:rPr>
          <w:rFonts w:ascii="Arial" w:hAnsi="Arial" w:cs="Arial"/>
          <w:sz w:val="21"/>
          <w:szCs w:val="21"/>
          <w:shd w:val="clear" w:color="auto" w:fill="FFFFFF"/>
        </w:rPr>
        <w:t>tambien</w:t>
      </w:r>
      <w:proofErr w:type="spellEnd"/>
      <w:r>
        <w:rPr>
          <w:rFonts w:ascii="Arial" w:hAnsi="Arial" w:cs="Arial"/>
          <w:sz w:val="21"/>
          <w:szCs w:val="21"/>
          <w:shd w:val="clear" w:color="auto" w:fill="FFFFFF"/>
        </w:rPr>
        <w:t xml:space="preserve"> en la oferta 154 plazas que se convocarán, para su provisión mediante los procesos correspondientes a</w:t>
      </w:r>
      <w:r>
        <w:rPr>
          <w:rFonts w:ascii="Arial" w:hAnsi="Arial" w:cs="Arial"/>
          <w:sz w:val="21"/>
          <w:szCs w:val="21"/>
        </w:rPr>
        <w:t xml:space="preserve">l turno </w:t>
      </w:r>
      <w:r>
        <w:rPr>
          <w:rFonts w:ascii="Arial" w:hAnsi="Arial" w:cs="Arial"/>
          <w:sz w:val="21"/>
          <w:szCs w:val="21"/>
          <w:shd w:val="clear" w:color="auto" w:fill="FFFFFF"/>
        </w:rPr>
        <w:t>de acceso a cuerpo superior, sin que dichas vacantes computen dentro del límite máximo de plazas derivado de la tasa de reposición de efectivos, detalladas asimismo por cuerpos docentes en el anexo II.</w:t>
      </w:r>
    </w:p>
    <w:p w:rsidR="00EF7E1C" w:rsidRDefault="00EF7E1C">
      <w:pPr>
        <w:pStyle w:val="Standard"/>
        <w:spacing w:after="57"/>
        <w:jc w:val="both"/>
        <w:rPr>
          <w:rFonts w:ascii="Arial" w:hAnsi="Arial" w:cs="Arial"/>
          <w:sz w:val="21"/>
          <w:szCs w:val="21"/>
          <w:shd w:val="clear" w:color="auto" w:fill="FFFFFF"/>
        </w:rPr>
      </w:pPr>
    </w:p>
    <w:p w:rsidR="00EF7E1C" w:rsidRDefault="00000000">
      <w:pPr>
        <w:pStyle w:val="Standard"/>
        <w:spacing w:after="57"/>
        <w:jc w:val="both"/>
        <w:rPr>
          <w:rFonts w:cs="Arial"/>
          <w:sz w:val="21"/>
          <w:szCs w:val="21"/>
          <w:shd w:val="clear" w:color="auto" w:fill="FFFFFF"/>
        </w:rPr>
      </w:pPr>
      <w:r>
        <w:rPr>
          <w:rFonts w:ascii="Arial" w:hAnsi="Arial"/>
          <w:b/>
        </w:rPr>
        <w:t>Artículo 4. Convocatoria</w:t>
      </w:r>
    </w:p>
    <w:p w:rsidR="00EF7E1C" w:rsidRDefault="00000000">
      <w:pPr>
        <w:pStyle w:val="Standard"/>
        <w:spacing w:after="57"/>
        <w:jc w:val="both"/>
        <w:rPr>
          <w:rFonts w:cs="Arial"/>
          <w:sz w:val="21"/>
          <w:szCs w:val="21"/>
          <w:shd w:val="clear" w:color="auto" w:fill="FFFFFF"/>
        </w:rPr>
      </w:pPr>
      <w:r>
        <w:rPr>
          <w:rFonts w:ascii="Arial" w:hAnsi="Arial" w:cs="Arial"/>
          <w:sz w:val="21"/>
          <w:szCs w:val="21"/>
          <w:shd w:val="clear" w:color="auto" w:fill="FFFFFF"/>
        </w:rPr>
        <w:t xml:space="preserve">El proceso selectivo derivado de esta oferta de empleo público será convocado por la Conselleria de Educación, Cultura y Deporte en el plazo máximo de dos años, con arreglo a lo dispuesto en la </w:t>
      </w:r>
      <w:r>
        <w:rPr>
          <w:rFonts w:ascii="Arial" w:hAnsi="Arial"/>
        </w:rPr>
        <w:t xml:space="preserve">Ley 4/2021, de 16 de abril, de la Generalitat, de la Función Pública Valenciana, </w:t>
      </w:r>
      <w:r>
        <w:rPr>
          <w:rFonts w:ascii="Arial" w:hAnsi="Arial" w:cs="Arial"/>
          <w:sz w:val="21"/>
          <w:szCs w:val="21"/>
          <w:shd w:val="clear" w:color="auto" w:fill="FFFFFF"/>
        </w:rPr>
        <w:t>y demás disposiciones que sean de aplicación.</w:t>
      </w:r>
    </w:p>
    <w:p w:rsidR="00EF7E1C" w:rsidRDefault="00EF7E1C">
      <w:pPr>
        <w:pStyle w:val="Standard"/>
        <w:spacing w:after="57"/>
        <w:jc w:val="both"/>
        <w:rPr>
          <w:rFonts w:ascii="Arial" w:hAnsi="Arial" w:cs="Arial"/>
          <w:sz w:val="21"/>
          <w:szCs w:val="21"/>
          <w:shd w:val="clear" w:color="auto" w:fill="FFFFFF"/>
        </w:rPr>
      </w:pPr>
    </w:p>
    <w:p w:rsidR="00EF7E1C" w:rsidRDefault="00000000">
      <w:pPr>
        <w:pStyle w:val="Standard"/>
        <w:spacing w:after="57"/>
        <w:jc w:val="both"/>
      </w:pPr>
      <w:r>
        <w:rPr>
          <w:rFonts w:ascii="Arial" w:eastAsia="Times New Roman" w:hAnsi="Arial"/>
          <w:b/>
          <w:bCs/>
          <w:sz w:val="21"/>
          <w:szCs w:val="21"/>
        </w:rPr>
        <w:t>Artículo 5. Reserva para personas con diversidad funcional</w:t>
      </w:r>
    </w:p>
    <w:p w:rsidR="00EF7E1C" w:rsidRDefault="00000000">
      <w:pPr>
        <w:pStyle w:val="Standard"/>
        <w:spacing w:after="57"/>
        <w:jc w:val="both"/>
      </w:pPr>
      <w:r>
        <w:rPr>
          <w:rFonts w:ascii="Arial" w:hAnsi="Arial" w:cs="Arial"/>
          <w:sz w:val="21"/>
          <w:szCs w:val="21"/>
        </w:rPr>
        <w:lastRenderedPageBreak/>
        <w:t xml:space="preserve">1. De conformidad con el artículo 64 de la Ley 4/2021, de 16 de abril, de la </w:t>
      </w:r>
      <w:proofErr w:type="gramStart"/>
      <w:r>
        <w:rPr>
          <w:rFonts w:ascii="Arial" w:hAnsi="Arial" w:cs="Arial"/>
          <w:sz w:val="21"/>
          <w:szCs w:val="21"/>
        </w:rPr>
        <w:t>Generalitat,  de</w:t>
      </w:r>
      <w:proofErr w:type="gramEnd"/>
      <w:r>
        <w:rPr>
          <w:rFonts w:ascii="Arial" w:hAnsi="Arial" w:cs="Arial"/>
          <w:sz w:val="21"/>
          <w:szCs w:val="21"/>
        </w:rPr>
        <w:t xml:space="preserve"> la Función Pública Valenciana, se establece la reserva de un cupo del 10% de las plazas contempladas en esta oferta de empleo público para ser cubiertas entre personas con un grado de diversidad funcional igual o superior al 33%, siempre que esta sea compatible con el desempeño de las funciones propias de los puestos de trabajo docente y que superen las pruebas selectivas.</w:t>
      </w:r>
    </w:p>
    <w:p w:rsidR="00EF7E1C" w:rsidRDefault="00000000">
      <w:pPr>
        <w:pStyle w:val="Standard"/>
        <w:spacing w:before="57" w:after="57"/>
        <w:jc w:val="both"/>
        <w:rPr>
          <w:rFonts w:ascii="Arial" w:hAnsi="Arial"/>
          <w:sz w:val="21"/>
          <w:szCs w:val="21"/>
        </w:rPr>
      </w:pPr>
      <w:r>
        <w:rPr>
          <w:rFonts w:ascii="Arial" w:hAnsi="Arial"/>
          <w:sz w:val="21"/>
          <w:szCs w:val="21"/>
        </w:rPr>
        <w:t>2. A estos efectos, se considerarán personas con diversidad funcional las definidas en los apartados 1 y 2 del artículo 4 el Texto Refundido de la Ley General de Derechos de las Personas con Discapacidad y de su Inclusión Social, aprobado por el Real Decreto Legislativo 1/2013, de 29 de noviembre.</w:t>
      </w:r>
    </w:p>
    <w:p w:rsidR="00EF7E1C" w:rsidRDefault="00000000">
      <w:pPr>
        <w:pStyle w:val="Standard"/>
        <w:spacing w:before="57" w:after="57"/>
        <w:jc w:val="both"/>
        <w:rPr>
          <w:rFonts w:ascii="Arial" w:hAnsi="Arial"/>
          <w:sz w:val="21"/>
          <w:szCs w:val="21"/>
        </w:rPr>
      </w:pPr>
      <w:r>
        <w:rPr>
          <w:rFonts w:ascii="Arial" w:hAnsi="Arial"/>
          <w:sz w:val="21"/>
          <w:szCs w:val="21"/>
        </w:rPr>
        <w:t>3. Las pruebas selectivas destinadas a personas con diversidad funcional tendrán idéntico contenido que las establecidas para el resto de personas aspirantes, sin perjuicio de las adaptaciones y los ajustes razonables necesarios de tiempo y medios para su realización, para asegurar que las personas con diversidad funcional participan en condiciones de igualdad.</w:t>
      </w:r>
    </w:p>
    <w:p w:rsidR="00EF7E1C" w:rsidRDefault="00000000">
      <w:pPr>
        <w:pStyle w:val="Standard"/>
        <w:spacing w:before="57" w:after="57"/>
        <w:jc w:val="both"/>
      </w:pPr>
      <w:r>
        <w:rPr>
          <w:rFonts w:ascii="Arial" w:eastAsia="SimSun" w:hAnsi="Arial"/>
          <w:sz w:val="21"/>
          <w:szCs w:val="21"/>
        </w:rPr>
        <w:t>4. La opción a puestos reservados habrá de formularse en la solicitud de</w:t>
      </w:r>
      <w:r>
        <w:rPr>
          <w:rFonts w:ascii="Arial" w:hAnsi="Arial"/>
          <w:sz w:val="21"/>
          <w:szCs w:val="21"/>
        </w:rPr>
        <w:t xml:space="preserve"> participación en las convocatorias, lo que deberá ser indicado expresamente en las mismas.</w:t>
      </w:r>
    </w:p>
    <w:p w:rsidR="00EF7E1C" w:rsidRDefault="00EF7E1C">
      <w:pPr>
        <w:pStyle w:val="Standard"/>
        <w:jc w:val="both"/>
        <w:rPr>
          <w:rFonts w:ascii="Arial" w:hAnsi="Arial"/>
          <w:b/>
          <w:bCs/>
          <w:i/>
          <w:iCs/>
          <w:sz w:val="21"/>
          <w:szCs w:val="21"/>
        </w:rPr>
      </w:pPr>
    </w:p>
    <w:p w:rsidR="00EF7E1C" w:rsidRDefault="00EF7E1C">
      <w:pPr>
        <w:pStyle w:val="Standard"/>
        <w:spacing w:after="57"/>
        <w:jc w:val="both"/>
        <w:rPr>
          <w:rFonts w:ascii="Arial" w:hAnsi="Arial"/>
          <w:b/>
          <w:bCs/>
          <w:sz w:val="21"/>
          <w:szCs w:val="21"/>
        </w:rPr>
      </w:pPr>
    </w:p>
    <w:p w:rsidR="00EF7E1C" w:rsidRDefault="00000000">
      <w:pPr>
        <w:pStyle w:val="Standard"/>
        <w:spacing w:after="57"/>
        <w:jc w:val="both"/>
        <w:rPr>
          <w:rFonts w:ascii="Arial" w:hAnsi="Arial"/>
          <w:b/>
          <w:bCs/>
          <w:sz w:val="21"/>
          <w:szCs w:val="21"/>
        </w:rPr>
      </w:pPr>
      <w:r>
        <w:rPr>
          <w:rFonts w:ascii="Arial" w:hAnsi="Arial"/>
          <w:b/>
          <w:bCs/>
          <w:sz w:val="21"/>
          <w:szCs w:val="21"/>
        </w:rPr>
        <w:t>Disposiciones finales</w:t>
      </w:r>
    </w:p>
    <w:p w:rsidR="00EF7E1C" w:rsidRDefault="00000000">
      <w:pPr>
        <w:pStyle w:val="Standard"/>
        <w:spacing w:after="57"/>
        <w:jc w:val="both"/>
        <w:rPr>
          <w:rFonts w:ascii="Arial" w:hAnsi="Arial"/>
          <w:b/>
          <w:bCs/>
          <w:sz w:val="21"/>
          <w:szCs w:val="21"/>
        </w:rPr>
      </w:pPr>
      <w:r>
        <w:rPr>
          <w:rFonts w:ascii="Arial" w:hAnsi="Arial"/>
          <w:b/>
          <w:bCs/>
          <w:sz w:val="21"/>
          <w:szCs w:val="21"/>
        </w:rPr>
        <w:t>Primera. Inalterabilidad de los puestos de trabajo</w:t>
      </w:r>
    </w:p>
    <w:p w:rsidR="00EF7E1C" w:rsidRDefault="00000000">
      <w:pPr>
        <w:pStyle w:val="Standard"/>
        <w:jc w:val="both"/>
        <w:rPr>
          <w:rFonts w:ascii="Arial" w:hAnsi="Arial"/>
          <w:sz w:val="21"/>
          <w:szCs w:val="21"/>
        </w:rPr>
      </w:pPr>
      <w:r>
        <w:rPr>
          <w:rFonts w:ascii="Arial" w:hAnsi="Arial"/>
          <w:sz w:val="21"/>
          <w:szCs w:val="21"/>
        </w:rPr>
        <w:t>Los puestos de trabajo incluidos en la presente oferta de empleo público no podrán sufrir modificación alguna en su clasificación hasta después de haberse realizado las correspondientes pruebas selectivas y la provisión de los correspondientes puestos de trabajo.</w:t>
      </w:r>
    </w:p>
    <w:p w:rsidR="00EF7E1C" w:rsidRDefault="00000000">
      <w:pPr>
        <w:pStyle w:val="Standard"/>
        <w:jc w:val="both"/>
      </w:pPr>
      <w:r>
        <w:rPr>
          <w:rFonts w:ascii="Arial" w:hAnsi="Arial"/>
          <w:b/>
          <w:bCs/>
          <w:sz w:val="21"/>
          <w:szCs w:val="21"/>
        </w:rPr>
        <w:t>Segunda. Desarrollo</w:t>
      </w:r>
    </w:p>
    <w:p w:rsidR="00EF7E1C" w:rsidRDefault="00000000">
      <w:pPr>
        <w:pStyle w:val="Standard"/>
        <w:jc w:val="both"/>
      </w:pPr>
      <w:r>
        <w:rPr>
          <w:rFonts w:ascii="Arial" w:hAnsi="Arial"/>
          <w:bCs/>
          <w:sz w:val="21"/>
          <w:szCs w:val="21"/>
        </w:rPr>
        <w:t xml:space="preserve">Se faculta a la persona titular de la </w:t>
      </w:r>
      <w:proofErr w:type="spellStart"/>
      <w:r>
        <w:rPr>
          <w:rFonts w:ascii="Arial" w:hAnsi="Arial"/>
          <w:bCs/>
          <w:sz w:val="21"/>
          <w:szCs w:val="21"/>
        </w:rPr>
        <w:t>conselleria</w:t>
      </w:r>
      <w:proofErr w:type="spellEnd"/>
      <w:r>
        <w:rPr>
          <w:rFonts w:ascii="Arial" w:hAnsi="Arial"/>
          <w:bCs/>
          <w:sz w:val="21"/>
          <w:szCs w:val="21"/>
        </w:rPr>
        <w:t xml:space="preserve"> competente en educación para desarrollar y ejecutar este decreto</w:t>
      </w:r>
      <w:r>
        <w:rPr>
          <w:rFonts w:ascii="Arial" w:hAnsi="Arial"/>
          <w:b/>
          <w:bCs/>
          <w:sz w:val="21"/>
          <w:szCs w:val="21"/>
        </w:rPr>
        <w:t>.</w:t>
      </w:r>
    </w:p>
    <w:p w:rsidR="00EF7E1C" w:rsidRDefault="00000000">
      <w:pPr>
        <w:pStyle w:val="Standard"/>
        <w:spacing w:after="57"/>
        <w:jc w:val="both"/>
        <w:rPr>
          <w:rFonts w:ascii="Arial" w:hAnsi="Arial"/>
          <w:b/>
          <w:bCs/>
          <w:sz w:val="21"/>
          <w:szCs w:val="21"/>
        </w:rPr>
      </w:pPr>
      <w:r>
        <w:rPr>
          <w:rFonts w:ascii="Arial" w:hAnsi="Arial"/>
          <w:b/>
          <w:bCs/>
          <w:sz w:val="21"/>
          <w:szCs w:val="21"/>
        </w:rPr>
        <w:t>Tercera. Efectos</w:t>
      </w:r>
    </w:p>
    <w:p w:rsidR="00EF7E1C" w:rsidRDefault="00000000">
      <w:pPr>
        <w:pStyle w:val="Standard"/>
        <w:jc w:val="both"/>
      </w:pPr>
      <w:r>
        <w:rPr>
          <w:rFonts w:ascii="Arial" w:hAnsi="Arial" w:cs="Arial"/>
          <w:sz w:val="21"/>
          <w:szCs w:val="21"/>
        </w:rPr>
        <w:t xml:space="preserve">El presente decreto entrará en vigor el día siguiente al de su publicación en el </w:t>
      </w:r>
      <w:proofErr w:type="spellStart"/>
      <w:r>
        <w:rPr>
          <w:rFonts w:ascii="Arial" w:hAnsi="Arial" w:cs="Arial"/>
          <w:i/>
          <w:iCs/>
          <w:sz w:val="21"/>
          <w:szCs w:val="21"/>
        </w:rPr>
        <w:t>Diari</w:t>
      </w:r>
      <w:proofErr w:type="spellEnd"/>
      <w:r>
        <w:rPr>
          <w:rFonts w:ascii="Arial" w:hAnsi="Arial" w:cs="Arial"/>
          <w:i/>
          <w:iCs/>
          <w:sz w:val="21"/>
          <w:szCs w:val="21"/>
        </w:rPr>
        <w:t xml:space="preserve"> Oficial de la Generalitat Valenciana.</w:t>
      </w:r>
    </w:p>
    <w:p w:rsidR="00EF7E1C" w:rsidRDefault="00EF7E1C">
      <w:pPr>
        <w:pStyle w:val="Standard"/>
        <w:jc w:val="both"/>
        <w:rPr>
          <w:rFonts w:ascii="Arial" w:hAnsi="Arial" w:cs="Arial"/>
          <w:color w:val="000000"/>
          <w:sz w:val="21"/>
          <w:szCs w:val="21"/>
        </w:rPr>
      </w:pPr>
    </w:p>
    <w:p w:rsidR="00EF7E1C" w:rsidRDefault="00EF7E1C">
      <w:pPr>
        <w:pStyle w:val="Standard"/>
        <w:jc w:val="center"/>
        <w:rPr>
          <w:rFonts w:ascii="Arial" w:hAnsi="Arial" w:cs="Arial"/>
          <w:b/>
          <w:bCs/>
          <w:color w:val="000000"/>
          <w:sz w:val="21"/>
          <w:szCs w:val="21"/>
        </w:rPr>
      </w:pPr>
    </w:p>
    <w:p w:rsidR="00EF7E1C" w:rsidRDefault="00EF7E1C">
      <w:pPr>
        <w:pStyle w:val="Standard"/>
        <w:jc w:val="center"/>
        <w:rPr>
          <w:rFonts w:ascii="Arial" w:hAnsi="Arial" w:cs="Arial"/>
          <w:b/>
          <w:bCs/>
          <w:color w:val="000000"/>
          <w:sz w:val="21"/>
          <w:szCs w:val="21"/>
        </w:rPr>
      </w:pPr>
    </w:p>
    <w:p w:rsidR="00EF7E1C" w:rsidRDefault="00000000">
      <w:pPr>
        <w:pStyle w:val="Standard"/>
        <w:jc w:val="center"/>
        <w:rPr>
          <w:rFonts w:ascii="Arial" w:hAnsi="Arial" w:cs="Arial"/>
          <w:b/>
          <w:bCs/>
          <w:color w:val="000000"/>
          <w:sz w:val="21"/>
          <w:szCs w:val="21"/>
        </w:rPr>
      </w:pPr>
      <w:r>
        <w:rPr>
          <w:rFonts w:ascii="Arial" w:hAnsi="Arial" w:cs="Arial"/>
          <w:b/>
          <w:bCs/>
          <w:color w:val="000000"/>
          <w:sz w:val="21"/>
          <w:szCs w:val="21"/>
        </w:rPr>
        <w:t>ANEXO I</w:t>
      </w:r>
    </w:p>
    <w:p w:rsidR="00EF7E1C" w:rsidRDefault="00000000">
      <w:pPr>
        <w:pStyle w:val="Standard"/>
        <w:jc w:val="center"/>
        <w:rPr>
          <w:rFonts w:ascii="Arial" w:hAnsi="Arial" w:cs="Arial"/>
          <w:b/>
          <w:bCs/>
          <w:color w:val="000000"/>
          <w:sz w:val="21"/>
          <w:szCs w:val="21"/>
        </w:rPr>
      </w:pPr>
      <w:r>
        <w:rPr>
          <w:rFonts w:ascii="Arial" w:hAnsi="Arial" w:cs="Arial"/>
          <w:b/>
          <w:bCs/>
          <w:color w:val="000000"/>
          <w:sz w:val="21"/>
          <w:szCs w:val="21"/>
        </w:rPr>
        <w:t>Plazas ofertadas por procedimiento de ingreso</w:t>
      </w:r>
    </w:p>
    <w:p w:rsidR="00EF7E1C" w:rsidRDefault="00EF7E1C">
      <w:pPr>
        <w:pStyle w:val="Standard"/>
        <w:jc w:val="center"/>
        <w:rPr>
          <w:rFonts w:ascii="TimesNewRomanPSMT" w:hAnsi="TimesNewRomanPSMT"/>
          <w:i/>
          <w:sz w:val="16"/>
          <w:szCs w:val="21"/>
        </w:rPr>
      </w:pPr>
    </w:p>
    <w:tbl>
      <w:tblPr>
        <w:tblW w:w="8891" w:type="dxa"/>
        <w:tblInd w:w="92" w:type="dxa"/>
        <w:tblLayout w:type="fixed"/>
        <w:tblCellMar>
          <w:left w:w="10" w:type="dxa"/>
          <w:right w:w="10" w:type="dxa"/>
        </w:tblCellMar>
        <w:tblLook w:val="04A0" w:firstRow="1" w:lastRow="0" w:firstColumn="1" w:lastColumn="0" w:noHBand="0" w:noVBand="1"/>
      </w:tblPr>
      <w:tblGrid>
        <w:gridCol w:w="7144"/>
        <w:gridCol w:w="1747"/>
      </w:tblGrid>
      <w:tr w:rsidR="00EF7E1C">
        <w:tblPrEx>
          <w:tblCellMar>
            <w:top w:w="0" w:type="dxa"/>
            <w:bottom w:w="0" w:type="dxa"/>
          </w:tblCellMar>
        </w:tblPrEx>
        <w:trPr>
          <w:trHeight w:val="454"/>
        </w:trPr>
        <w:tc>
          <w:tcPr>
            <w:tcW w:w="7144"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F7E1C" w:rsidRDefault="00000000">
            <w:pPr>
              <w:pStyle w:val="Standard"/>
              <w:ind w:left="397"/>
              <w:jc w:val="center"/>
              <w:rPr>
                <w:rFonts w:cs="Arial"/>
                <w:color w:val="000000"/>
                <w:sz w:val="18"/>
                <w:szCs w:val="18"/>
              </w:rPr>
            </w:pPr>
            <w:r>
              <w:rPr>
                <w:rFonts w:cs="Arial"/>
                <w:color w:val="000000"/>
                <w:sz w:val="18"/>
                <w:szCs w:val="18"/>
              </w:rPr>
              <w:t>CUERPO</w:t>
            </w:r>
          </w:p>
        </w:tc>
        <w:tc>
          <w:tcPr>
            <w:tcW w:w="174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EF7E1C" w:rsidRDefault="00000000">
            <w:pPr>
              <w:pStyle w:val="TableContents"/>
              <w:jc w:val="center"/>
              <w:rPr>
                <w:color w:val="000000"/>
                <w:sz w:val="18"/>
                <w:szCs w:val="18"/>
              </w:rPr>
            </w:pPr>
            <w:r>
              <w:rPr>
                <w:color w:val="000000"/>
                <w:sz w:val="18"/>
                <w:szCs w:val="18"/>
              </w:rPr>
              <w:t>Número de plazas</w:t>
            </w:r>
          </w:p>
        </w:tc>
      </w:tr>
      <w:tr w:rsidR="00EF7E1C">
        <w:tblPrEx>
          <w:tblCellMar>
            <w:top w:w="0" w:type="dxa"/>
            <w:bottom w:w="0" w:type="dxa"/>
          </w:tblCellMar>
        </w:tblPrEx>
        <w:trPr>
          <w:trHeight w:val="397"/>
        </w:trPr>
        <w:tc>
          <w:tcPr>
            <w:tcW w:w="7144" w:type="dxa"/>
            <w:tcBorders>
              <w:left w:val="single" w:sz="2" w:space="0" w:color="000000"/>
              <w:bottom w:val="single" w:sz="2" w:space="0" w:color="000000"/>
            </w:tcBorders>
            <w:tcMar>
              <w:top w:w="55" w:type="dxa"/>
              <w:left w:w="55" w:type="dxa"/>
              <w:bottom w:w="55" w:type="dxa"/>
              <w:right w:w="55" w:type="dxa"/>
            </w:tcMar>
            <w:vAlign w:val="center"/>
          </w:tcPr>
          <w:p w:rsidR="00EF7E1C" w:rsidRDefault="00000000">
            <w:pPr>
              <w:pStyle w:val="TableContents"/>
              <w:jc w:val="both"/>
              <w:rPr>
                <w:rFonts w:cs="Arial"/>
                <w:color w:val="000000"/>
                <w:sz w:val="18"/>
                <w:szCs w:val="18"/>
              </w:rPr>
            </w:pPr>
            <w:r>
              <w:rPr>
                <w:rFonts w:cs="Arial"/>
                <w:color w:val="000000"/>
                <w:sz w:val="18"/>
                <w:szCs w:val="18"/>
              </w:rPr>
              <w:t>MAESTROS</w:t>
            </w:r>
          </w:p>
        </w:tc>
        <w:tc>
          <w:tcPr>
            <w:tcW w:w="174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F7E1C" w:rsidRDefault="00000000">
            <w:pPr>
              <w:pStyle w:val="TableContents"/>
              <w:jc w:val="center"/>
              <w:rPr>
                <w:color w:val="000000"/>
                <w:sz w:val="18"/>
                <w:szCs w:val="18"/>
              </w:rPr>
            </w:pPr>
            <w:r>
              <w:rPr>
                <w:color w:val="000000"/>
                <w:sz w:val="18"/>
                <w:szCs w:val="18"/>
              </w:rPr>
              <w:t>1.695</w:t>
            </w:r>
          </w:p>
        </w:tc>
      </w:tr>
      <w:tr w:rsidR="00EF7E1C">
        <w:tblPrEx>
          <w:tblCellMar>
            <w:top w:w="0" w:type="dxa"/>
            <w:bottom w:w="0" w:type="dxa"/>
          </w:tblCellMar>
        </w:tblPrEx>
        <w:trPr>
          <w:trHeight w:val="397"/>
        </w:trPr>
        <w:tc>
          <w:tcPr>
            <w:tcW w:w="7144" w:type="dxa"/>
            <w:tcBorders>
              <w:left w:val="single" w:sz="2" w:space="0" w:color="000000"/>
              <w:bottom w:val="single" w:sz="2" w:space="0" w:color="000000"/>
            </w:tcBorders>
            <w:tcMar>
              <w:top w:w="55" w:type="dxa"/>
              <w:left w:w="55" w:type="dxa"/>
              <w:bottom w:w="55" w:type="dxa"/>
              <w:right w:w="55" w:type="dxa"/>
            </w:tcMar>
            <w:vAlign w:val="center"/>
          </w:tcPr>
          <w:p w:rsidR="00EF7E1C" w:rsidRDefault="00000000">
            <w:pPr>
              <w:pStyle w:val="TableContents"/>
              <w:jc w:val="both"/>
              <w:rPr>
                <w:color w:val="000000"/>
                <w:sz w:val="18"/>
                <w:szCs w:val="18"/>
              </w:rPr>
            </w:pPr>
            <w:r>
              <w:rPr>
                <w:color w:val="000000"/>
                <w:sz w:val="18"/>
                <w:szCs w:val="18"/>
              </w:rPr>
              <w:t>TOTAL</w:t>
            </w:r>
          </w:p>
        </w:tc>
        <w:tc>
          <w:tcPr>
            <w:tcW w:w="174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F7E1C" w:rsidRDefault="00000000">
            <w:pPr>
              <w:pStyle w:val="TableContents"/>
              <w:jc w:val="center"/>
              <w:rPr>
                <w:color w:val="000000"/>
                <w:sz w:val="18"/>
                <w:szCs w:val="18"/>
              </w:rPr>
            </w:pPr>
            <w:r>
              <w:rPr>
                <w:color w:val="000000"/>
                <w:sz w:val="18"/>
                <w:szCs w:val="18"/>
              </w:rPr>
              <w:t>1.695</w:t>
            </w:r>
          </w:p>
        </w:tc>
      </w:tr>
    </w:tbl>
    <w:p w:rsidR="00EF7E1C" w:rsidRDefault="00EF7E1C">
      <w:pPr>
        <w:pStyle w:val="Standard"/>
      </w:pPr>
    </w:p>
    <w:p w:rsidR="00EF7E1C" w:rsidRDefault="00EF7E1C">
      <w:pPr>
        <w:pStyle w:val="Standard"/>
        <w:rPr>
          <w:rFonts w:ascii="TimesNewRomanPSMT" w:hAnsi="TimesNewRomanPSMT"/>
          <w:i/>
          <w:sz w:val="16"/>
          <w:szCs w:val="21"/>
        </w:rPr>
      </w:pPr>
    </w:p>
    <w:p w:rsidR="00EF7E1C" w:rsidRDefault="00EF7E1C">
      <w:pPr>
        <w:pStyle w:val="Standard"/>
        <w:rPr>
          <w:rFonts w:ascii="TimesNewRomanPSMT" w:hAnsi="TimesNewRomanPSMT"/>
          <w:i/>
          <w:sz w:val="16"/>
          <w:szCs w:val="21"/>
        </w:rPr>
      </w:pPr>
    </w:p>
    <w:p w:rsidR="00EF7E1C" w:rsidRDefault="00000000">
      <w:pPr>
        <w:pStyle w:val="Standard"/>
        <w:jc w:val="center"/>
        <w:rPr>
          <w:rFonts w:ascii="Arial" w:hAnsi="Arial" w:cs="Arial"/>
          <w:b/>
          <w:bCs/>
          <w:color w:val="000000"/>
          <w:sz w:val="21"/>
          <w:szCs w:val="21"/>
        </w:rPr>
      </w:pPr>
      <w:r>
        <w:rPr>
          <w:rFonts w:ascii="Arial" w:hAnsi="Arial" w:cs="Arial"/>
          <w:b/>
          <w:bCs/>
          <w:color w:val="000000"/>
          <w:sz w:val="21"/>
          <w:szCs w:val="21"/>
        </w:rPr>
        <w:t>ANEXO II</w:t>
      </w:r>
    </w:p>
    <w:p w:rsidR="00EF7E1C" w:rsidRDefault="00000000">
      <w:pPr>
        <w:pStyle w:val="Standard"/>
        <w:jc w:val="center"/>
        <w:rPr>
          <w:rFonts w:ascii="Arial" w:hAnsi="Arial" w:cs="Arial"/>
          <w:b/>
          <w:bCs/>
          <w:color w:val="000000"/>
          <w:sz w:val="21"/>
          <w:szCs w:val="21"/>
        </w:rPr>
      </w:pPr>
      <w:r>
        <w:rPr>
          <w:rFonts w:ascii="Arial" w:hAnsi="Arial" w:cs="Arial"/>
          <w:b/>
          <w:bCs/>
          <w:color w:val="000000"/>
          <w:sz w:val="21"/>
          <w:szCs w:val="21"/>
        </w:rPr>
        <w:t>Plazas ofertadas por procedimiento de acceso</w:t>
      </w:r>
    </w:p>
    <w:p w:rsidR="00EF7E1C" w:rsidRDefault="00EF7E1C">
      <w:pPr>
        <w:pStyle w:val="Standard"/>
        <w:rPr>
          <w:rFonts w:ascii="TimesNewRomanPSMT" w:hAnsi="TimesNewRomanPSMT"/>
          <w:i/>
          <w:sz w:val="16"/>
          <w:szCs w:val="21"/>
        </w:rPr>
      </w:pPr>
    </w:p>
    <w:tbl>
      <w:tblPr>
        <w:tblW w:w="8891" w:type="dxa"/>
        <w:tblInd w:w="92" w:type="dxa"/>
        <w:tblLayout w:type="fixed"/>
        <w:tblCellMar>
          <w:left w:w="10" w:type="dxa"/>
          <w:right w:w="10" w:type="dxa"/>
        </w:tblCellMar>
        <w:tblLook w:val="04A0" w:firstRow="1" w:lastRow="0" w:firstColumn="1" w:lastColumn="0" w:noHBand="0" w:noVBand="1"/>
      </w:tblPr>
      <w:tblGrid>
        <w:gridCol w:w="7144"/>
        <w:gridCol w:w="1747"/>
      </w:tblGrid>
      <w:tr w:rsidR="00EF7E1C">
        <w:tblPrEx>
          <w:tblCellMar>
            <w:top w:w="0" w:type="dxa"/>
            <w:bottom w:w="0" w:type="dxa"/>
          </w:tblCellMar>
        </w:tblPrEx>
        <w:trPr>
          <w:trHeight w:val="454"/>
        </w:trPr>
        <w:tc>
          <w:tcPr>
            <w:tcW w:w="7144"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F7E1C" w:rsidRDefault="00000000">
            <w:pPr>
              <w:pStyle w:val="Standard"/>
              <w:ind w:left="397"/>
              <w:jc w:val="center"/>
              <w:rPr>
                <w:rFonts w:cs="Arial"/>
                <w:color w:val="000000"/>
                <w:sz w:val="18"/>
                <w:szCs w:val="18"/>
              </w:rPr>
            </w:pPr>
            <w:r>
              <w:rPr>
                <w:rFonts w:cs="Arial"/>
                <w:color w:val="000000"/>
                <w:sz w:val="18"/>
                <w:szCs w:val="18"/>
              </w:rPr>
              <w:t>CUERPO</w:t>
            </w:r>
          </w:p>
        </w:tc>
        <w:tc>
          <w:tcPr>
            <w:tcW w:w="174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EF7E1C" w:rsidRDefault="00000000">
            <w:pPr>
              <w:pStyle w:val="TableContents"/>
              <w:jc w:val="center"/>
              <w:rPr>
                <w:color w:val="000000"/>
                <w:sz w:val="18"/>
                <w:szCs w:val="18"/>
              </w:rPr>
            </w:pPr>
            <w:r>
              <w:rPr>
                <w:color w:val="000000"/>
                <w:sz w:val="18"/>
                <w:szCs w:val="18"/>
              </w:rPr>
              <w:t>Número de plazas</w:t>
            </w:r>
          </w:p>
        </w:tc>
      </w:tr>
      <w:tr w:rsidR="00EF7E1C">
        <w:tblPrEx>
          <w:tblCellMar>
            <w:top w:w="0" w:type="dxa"/>
            <w:bottom w:w="0" w:type="dxa"/>
          </w:tblCellMar>
        </w:tblPrEx>
        <w:trPr>
          <w:trHeight w:val="397"/>
        </w:trPr>
        <w:tc>
          <w:tcPr>
            <w:tcW w:w="7144" w:type="dxa"/>
            <w:tcBorders>
              <w:left w:val="single" w:sz="2" w:space="0" w:color="000000"/>
              <w:bottom w:val="single" w:sz="2" w:space="0" w:color="000000"/>
            </w:tcBorders>
            <w:tcMar>
              <w:top w:w="55" w:type="dxa"/>
              <w:left w:w="55" w:type="dxa"/>
              <w:bottom w:w="55" w:type="dxa"/>
              <w:right w:w="55" w:type="dxa"/>
            </w:tcMar>
            <w:vAlign w:val="center"/>
          </w:tcPr>
          <w:p w:rsidR="00EF7E1C" w:rsidRDefault="00000000">
            <w:pPr>
              <w:pStyle w:val="TableContents"/>
              <w:jc w:val="both"/>
              <w:rPr>
                <w:rFonts w:cs="Arial"/>
                <w:color w:val="000000"/>
                <w:sz w:val="18"/>
                <w:szCs w:val="18"/>
              </w:rPr>
            </w:pPr>
            <w:r>
              <w:rPr>
                <w:rFonts w:cs="Arial"/>
                <w:color w:val="000000"/>
                <w:sz w:val="18"/>
                <w:szCs w:val="18"/>
              </w:rPr>
              <w:t>INSPECCIÓN EDUCATIVA</w:t>
            </w:r>
          </w:p>
        </w:tc>
        <w:tc>
          <w:tcPr>
            <w:tcW w:w="174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F7E1C" w:rsidRDefault="00000000">
            <w:pPr>
              <w:pStyle w:val="TableContents"/>
              <w:jc w:val="center"/>
              <w:rPr>
                <w:color w:val="000000"/>
                <w:sz w:val="18"/>
                <w:szCs w:val="18"/>
              </w:rPr>
            </w:pPr>
            <w:r>
              <w:rPr>
                <w:color w:val="000000"/>
                <w:sz w:val="18"/>
                <w:szCs w:val="18"/>
              </w:rPr>
              <w:t>21</w:t>
            </w:r>
          </w:p>
        </w:tc>
      </w:tr>
      <w:tr w:rsidR="00EF7E1C">
        <w:tblPrEx>
          <w:tblCellMar>
            <w:top w:w="0" w:type="dxa"/>
            <w:bottom w:w="0" w:type="dxa"/>
          </w:tblCellMar>
        </w:tblPrEx>
        <w:trPr>
          <w:trHeight w:val="397"/>
        </w:trPr>
        <w:tc>
          <w:tcPr>
            <w:tcW w:w="7144" w:type="dxa"/>
            <w:tcBorders>
              <w:left w:val="single" w:sz="2" w:space="0" w:color="000000"/>
              <w:bottom w:val="single" w:sz="2" w:space="0" w:color="000000"/>
            </w:tcBorders>
            <w:tcMar>
              <w:top w:w="55" w:type="dxa"/>
              <w:left w:w="55" w:type="dxa"/>
              <w:bottom w:w="55" w:type="dxa"/>
              <w:right w:w="55" w:type="dxa"/>
            </w:tcMar>
            <w:vAlign w:val="center"/>
          </w:tcPr>
          <w:p w:rsidR="00EF7E1C" w:rsidRDefault="00000000">
            <w:pPr>
              <w:pStyle w:val="TableContents"/>
              <w:jc w:val="both"/>
              <w:rPr>
                <w:color w:val="000000"/>
                <w:sz w:val="18"/>
                <w:szCs w:val="18"/>
              </w:rPr>
            </w:pPr>
            <w:r>
              <w:rPr>
                <w:color w:val="000000"/>
                <w:sz w:val="18"/>
                <w:szCs w:val="18"/>
              </w:rPr>
              <w:lastRenderedPageBreak/>
              <w:t>PROFESORADO DE ENSEÑANZA SECUNDARIA</w:t>
            </w:r>
          </w:p>
        </w:tc>
        <w:tc>
          <w:tcPr>
            <w:tcW w:w="174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F7E1C" w:rsidRDefault="00000000">
            <w:pPr>
              <w:pStyle w:val="TableContents"/>
              <w:jc w:val="center"/>
              <w:rPr>
                <w:color w:val="000000"/>
                <w:sz w:val="18"/>
                <w:szCs w:val="18"/>
              </w:rPr>
            </w:pPr>
            <w:r>
              <w:rPr>
                <w:color w:val="000000"/>
                <w:sz w:val="18"/>
                <w:szCs w:val="18"/>
              </w:rPr>
              <w:t>133</w:t>
            </w:r>
          </w:p>
        </w:tc>
      </w:tr>
      <w:tr w:rsidR="00EF7E1C">
        <w:tblPrEx>
          <w:tblCellMar>
            <w:top w:w="0" w:type="dxa"/>
            <w:bottom w:w="0" w:type="dxa"/>
          </w:tblCellMar>
        </w:tblPrEx>
        <w:trPr>
          <w:trHeight w:val="397"/>
        </w:trPr>
        <w:tc>
          <w:tcPr>
            <w:tcW w:w="7144" w:type="dxa"/>
            <w:tcBorders>
              <w:left w:val="single" w:sz="2" w:space="0" w:color="000000"/>
              <w:bottom w:val="single" w:sz="2" w:space="0" w:color="000000"/>
            </w:tcBorders>
            <w:tcMar>
              <w:top w:w="55" w:type="dxa"/>
              <w:left w:w="55" w:type="dxa"/>
              <w:bottom w:w="55" w:type="dxa"/>
              <w:right w:w="55" w:type="dxa"/>
            </w:tcMar>
            <w:vAlign w:val="center"/>
          </w:tcPr>
          <w:p w:rsidR="00EF7E1C" w:rsidRDefault="00000000">
            <w:pPr>
              <w:pStyle w:val="TableContents"/>
              <w:jc w:val="both"/>
              <w:rPr>
                <w:color w:val="000000"/>
                <w:sz w:val="18"/>
                <w:szCs w:val="18"/>
              </w:rPr>
            </w:pPr>
            <w:r>
              <w:rPr>
                <w:color w:val="000000"/>
                <w:sz w:val="18"/>
                <w:szCs w:val="18"/>
              </w:rPr>
              <w:t>TOTAL</w:t>
            </w:r>
          </w:p>
        </w:tc>
        <w:tc>
          <w:tcPr>
            <w:tcW w:w="174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F7E1C" w:rsidRDefault="00000000">
            <w:pPr>
              <w:pStyle w:val="TableContents"/>
              <w:jc w:val="center"/>
              <w:rPr>
                <w:color w:val="000000"/>
                <w:sz w:val="18"/>
                <w:szCs w:val="18"/>
              </w:rPr>
            </w:pPr>
            <w:r>
              <w:rPr>
                <w:color w:val="000000"/>
                <w:sz w:val="18"/>
                <w:szCs w:val="18"/>
              </w:rPr>
              <w:t>154</w:t>
            </w:r>
          </w:p>
        </w:tc>
      </w:tr>
    </w:tbl>
    <w:p w:rsidR="00EF7E1C" w:rsidRDefault="00EF7E1C">
      <w:pPr>
        <w:pStyle w:val="Standard"/>
        <w:rPr>
          <w:rFonts w:ascii="TimesNewRomanPSMT" w:hAnsi="TimesNewRomanPSMT"/>
          <w:i/>
          <w:sz w:val="16"/>
          <w:szCs w:val="21"/>
        </w:rPr>
      </w:pPr>
    </w:p>
    <w:p w:rsidR="00EF7E1C" w:rsidRDefault="00EF7E1C">
      <w:pPr>
        <w:pStyle w:val="Standard"/>
        <w:rPr>
          <w:rFonts w:ascii="TimesNewRomanPSMT" w:hAnsi="TimesNewRomanPSMT"/>
          <w:i/>
          <w:sz w:val="16"/>
          <w:szCs w:val="21"/>
        </w:rPr>
      </w:pPr>
    </w:p>
    <w:sectPr w:rsidR="00EF7E1C">
      <w:headerReference w:type="default" r:id="rId6"/>
      <w:footerReference w:type="default" r:id="rId7"/>
      <w:headerReference w:type="first" r:id="rId8"/>
      <w:footerReference w:type="first" r:id="rId9"/>
      <w:pgSz w:w="11906" w:h="16838"/>
      <w:pgMar w:top="2381" w:right="1134" w:bottom="1757" w:left="1134" w:header="680" w:footer="141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52A1" w:rsidRDefault="004F52A1">
      <w:pPr>
        <w:rPr>
          <w:rFonts w:hint="eastAsia"/>
        </w:rPr>
      </w:pPr>
      <w:r>
        <w:separator/>
      </w:r>
    </w:p>
  </w:endnote>
  <w:endnote w:type="continuationSeparator" w:id="0">
    <w:p w:rsidR="004F52A1" w:rsidRDefault="004F52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swiss"/>
    <w:pitch w:val="variable"/>
  </w:font>
  <w:font w:name="0">
    <w:charset w:val="00"/>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45ED" w:rsidRDefault="00000000">
    <w:pPr>
      <w:pStyle w:val="Piedepgina"/>
    </w:pPr>
    <w:r>
      <w:rPr>
        <w:sz w:val="18"/>
      </w:rPr>
      <w:fldChar w:fldCharType="begin"/>
    </w:r>
    <w:r>
      <w:rPr>
        <w:sz w:val="18"/>
      </w:rPr>
      <w:instrText xml:space="preserve"> PAGE </w:instrText>
    </w:r>
    <w:r>
      <w:rPr>
        <w:sz w:val="18"/>
      </w:rPr>
      <w:fldChar w:fldCharType="separate"/>
    </w:r>
    <w:r>
      <w:rPr>
        <w:sz w:val="18"/>
      </w:rPr>
      <w:t>3</w: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45ED" w:rsidRDefault="00000000">
    <w:pPr>
      <w:pStyle w:val="Piedepgina"/>
      <w:jc w:val="both"/>
    </w:pP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52A1" w:rsidRDefault="004F52A1">
      <w:pPr>
        <w:rPr>
          <w:rFonts w:hint="eastAsia"/>
        </w:rPr>
      </w:pPr>
      <w:r>
        <w:rPr>
          <w:color w:val="000000"/>
        </w:rPr>
        <w:separator/>
      </w:r>
    </w:p>
  </w:footnote>
  <w:footnote w:type="continuationSeparator" w:id="0">
    <w:p w:rsidR="004F52A1" w:rsidRDefault="004F52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45ED" w:rsidRDefault="00000000">
    <w:pPr>
      <w:pStyle w:val="Encabezado"/>
      <w:jc w:val="right"/>
    </w:pPr>
    <w:r>
      <w:t xml:space="preserve"> </w:t>
    </w:r>
  </w:p>
  <w:p w:rsidR="00C645ED" w:rsidRDefault="0000000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45ED" w:rsidRDefault="00000000">
    <w:pPr>
      <w:pStyle w:val="Encabezado"/>
    </w:pPr>
    <w:r>
      <w:rPr>
        <w:noProof/>
        <w:lang w:eastAsia="es-ES" w:bidi="ar-SA"/>
      </w:rPr>
      <w:drawing>
        <wp:inline distT="0" distB="0" distL="0" distR="0">
          <wp:extent cx="1480679" cy="731519"/>
          <wp:effectExtent l="0" t="0" r="5221" b="0"/>
          <wp:docPr id="2083984880" name="Imagen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480679" cy="731519"/>
                  </a:xfrm>
                  <a:prstGeom prst="rect">
                    <a:avLst/>
                  </a:prstGeom>
                  <a:noFill/>
                  <a:ln>
                    <a:noFill/>
                    <a:prstDash/>
                  </a:ln>
                </pic:spPr>
              </pic:pic>
            </a:graphicData>
          </a:graphic>
        </wp:inline>
      </w:drawing>
    </w:r>
    <w:r>
      <w:rPr>
        <w:lang w:eastAsia="es-ES" w:bidi="ar-SA"/>
      </w:rPr>
      <w:t xml:space="preserve">                                                                                 </w:t>
    </w:r>
    <w:r>
      <w:rPr>
        <w:noProof/>
        <w:lang w:eastAsia="es-ES" w:bidi="ar-SA"/>
      </w:rPr>
      <mc:AlternateContent>
        <mc:Choice Requires="wps">
          <w:drawing>
            <wp:inline distT="0" distB="0" distL="0" distR="0">
              <wp:extent cx="2519640" cy="864359"/>
              <wp:effectExtent l="0" t="0" r="14010" b="11941"/>
              <wp:docPr id="2124868629" name="Marco2"/>
              <wp:cNvGraphicFramePr/>
              <a:graphic xmlns:a="http://schemas.openxmlformats.org/drawingml/2006/main">
                <a:graphicData uri="http://schemas.microsoft.com/office/word/2010/wordprocessingShape">
                  <wps:wsp>
                    <wps:cNvSpPr txBox="1"/>
                    <wps:spPr>
                      <a:xfrm>
                        <a:off x="0" y="0"/>
                        <a:ext cx="2519640" cy="864359"/>
                      </a:xfrm>
                      <a:prstGeom prst="rect">
                        <a:avLst/>
                      </a:prstGeom>
                      <a:noFill/>
                      <a:ln>
                        <a:noFill/>
                        <a:prstDash/>
                      </a:ln>
                    </wps:spPr>
                    <wps:txbx>
                      <w:txbxContent>
                        <w:p w:rsidR="00C645ED" w:rsidRDefault="00000000">
                          <w:pPr>
                            <w:pStyle w:val="Framecontents"/>
                          </w:pPr>
                          <w:proofErr w:type="spellStart"/>
                          <w:r>
                            <w:rPr>
                              <w:b/>
                              <w:color w:val="000000"/>
                              <w:sz w:val="16"/>
                            </w:rPr>
                            <w:t>Direcció</w:t>
                          </w:r>
                          <w:proofErr w:type="spellEnd"/>
                          <w:r>
                            <w:rPr>
                              <w:b/>
                              <w:color w:val="000000"/>
                              <w:sz w:val="16"/>
                            </w:rPr>
                            <w:t xml:space="preserve"> General de Personal </w:t>
                          </w:r>
                          <w:proofErr w:type="spellStart"/>
                          <w:r>
                            <w:rPr>
                              <w:b/>
                              <w:color w:val="000000"/>
                              <w:sz w:val="16"/>
                            </w:rPr>
                            <w:t>Docent</w:t>
                          </w:r>
                          <w:proofErr w:type="spellEnd"/>
                          <w:r>
                            <w:rPr>
                              <w:b/>
                              <w:color w:val="000000"/>
                              <w:sz w:val="16"/>
                            </w:rPr>
                            <w:br/>
                          </w:r>
                          <w:r>
                            <w:rPr>
                              <w:color w:val="000000"/>
                              <w:sz w:val="16"/>
                            </w:rPr>
                            <w:t>Avda. Campanar, 32 · 46015 València</w:t>
                          </w:r>
                          <w:r>
                            <w:rPr>
                              <w:color w:val="000000"/>
                              <w:sz w:val="16"/>
                            </w:rPr>
                            <w:br/>
                            <w:t>www.gva.es</w:t>
                          </w:r>
                        </w:p>
                      </w:txbxContent>
                    </wps:txbx>
                    <wps:bodyPr vert="horz" wrap="none" lIns="0" tIns="0" rIns="0" bIns="0" anchor="t" compatLnSpc="0">
                      <a:noAutofit/>
                    </wps:bodyPr>
                  </wps:wsp>
                </a:graphicData>
              </a:graphic>
            </wp:inline>
          </w:drawing>
        </mc:Choice>
        <mc:Fallback>
          <w:pict>
            <v:shapetype id="_x0000_t202" coordsize="21600,21600" o:spt="202" path="m,l,21600r21600,l21600,xe">
              <v:stroke joinstyle="miter"/>
              <v:path gradientshapeok="t" o:connecttype="rect"/>
            </v:shapetype>
            <v:shape id="Marco2" o:spid="_x0000_s1026" type="#_x0000_t202" style="width:198.4pt;height:68.0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" filled="f" stroked="f">
              <v:textbox inset="0,0,0,0">
                <w:txbxContent>
                  <w:p w:rsidR="00C645ED" w:rsidRDefault="00000000">
                    <w:pPr>
                      <w:pStyle w:val="Framecontents"/>
                    </w:pPr>
                    <w:proofErr w:type="spellStart"/>
                    <w:r>
                      <w:rPr>
                        <w:b/>
                        <w:color w:val="000000"/>
                        <w:sz w:val="16"/>
                      </w:rPr>
                      <w:t>Direcció</w:t>
                    </w:r>
                    <w:proofErr w:type="spellEnd"/>
                    <w:r>
                      <w:rPr>
                        <w:b/>
                        <w:color w:val="000000"/>
                        <w:sz w:val="16"/>
                      </w:rPr>
                      <w:t xml:space="preserve"> General de Personal </w:t>
                    </w:r>
                    <w:proofErr w:type="spellStart"/>
                    <w:r>
                      <w:rPr>
                        <w:b/>
                        <w:color w:val="000000"/>
                        <w:sz w:val="16"/>
                      </w:rPr>
                      <w:t>Docent</w:t>
                    </w:r>
                    <w:proofErr w:type="spellEnd"/>
                    <w:r>
                      <w:rPr>
                        <w:b/>
                        <w:color w:val="000000"/>
                        <w:sz w:val="16"/>
                      </w:rPr>
                      <w:br/>
                    </w:r>
                    <w:r>
                      <w:rPr>
                        <w:color w:val="000000"/>
                        <w:sz w:val="16"/>
                      </w:rPr>
                      <w:t>Avda. Campanar, 32 · 46015 València</w:t>
                    </w:r>
                    <w:r>
                      <w:rPr>
                        <w:color w:val="000000"/>
                        <w:sz w:val="16"/>
                      </w:rPr>
                      <w:br/>
                      <w:t>www.gva.es</w:t>
                    </w:r>
                  </w:p>
                </w:txbxContent>
              </v:textbox>
              <w10:anchorlock/>
            </v:shape>
          </w:pict>
        </mc:Fallback>
      </mc:AlternateConten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4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F7E1C"/>
    <w:rsid w:val="004F52A1"/>
    <w:rsid w:val="00916F12"/>
    <w:rsid w:val="00EF7E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5443F5-8900-482B-A8CA-C63B01F14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es-ES"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5">
    <w:name w:val="heading 5"/>
    <w:basedOn w:val="Heading"/>
    <w:next w:val="Textbody"/>
    <w:uiPriority w:val="9"/>
    <w:semiHidden/>
    <w:unhideWhenUsed/>
    <w:qFormat/>
    <w:pPr>
      <w:spacing w:before="120" w:after="60"/>
      <w:outlineLvl w:val="4"/>
    </w:pPr>
    <w:rPr>
      <w:rFonts w:ascii="Liberation Serif" w:eastAsia="NSimSun" w:hAnsi="Liberation Serif" w:cs="Lucida Sans"/>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Pr>
      <w:rFonts w:ascii="Roboto" w:eastAsia="Roboto" w:hAnsi="Roboto" w:cs="Roboto"/>
      <w:sz w:val="22"/>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ind w:firstLine="283"/>
      <w:jc w:val="both"/>
    </w:pPr>
  </w:style>
  <w:style w:type="paragraph" w:styleId="Lista">
    <w:name w:val="List"/>
    <w:basedOn w:val="Textbody"/>
    <w:rPr>
      <w:rFonts w:cs="Mangal"/>
      <w:sz w:val="24"/>
    </w:rPr>
  </w:style>
  <w:style w:type="paragraph" w:styleId="Descripcin">
    <w:name w:val="caption"/>
    <w:basedOn w:val="Standard"/>
    <w:pPr>
      <w:suppressLineNumbers/>
      <w:spacing w:before="120" w:after="120"/>
    </w:pPr>
    <w:rPr>
      <w:rFonts w:cs="Lucida Sans"/>
      <w:i/>
      <w:iCs/>
      <w:sz w:val="24"/>
    </w:rPr>
  </w:style>
  <w:style w:type="paragraph" w:customStyle="1" w:styleId="Index">
    <w:name w:val="Index"/>
    <w:basedOn w:val="Standard"/>
    <w:pPr>
      <w:suppressLineNumbers/>
    </w:pPr>
    <w:rPr>
      <w:rFonts w:cs="Mangal"/>
      <w:sz w:val="24"/>
    </w:rPr>
  </w:style>
  <w:style w:type="paragraph" w:customStyle="1" w:styleId="Textbodyindent">
    <w:name w:val="Text body indent"/>
    <w:basedOn w:val="Standard"/>
    <w:pPr>
      <w:ind w:firstLine="708"/>
      <w:jc w:val="both"/>
    </w:pPr>
    <w:rPr>
      <w:rFonts w:ascii="Verdana" w:eastAsia="Verdana" w:hAnsi="Verdana" w:cs="Verdana"/>
      <w:color w:val="0000FF"/>
      <w:sz w:val="28"/>
    </w:rPr>
  </w:style>
  <w:style w:type="paragraph" w:customStyle="1" w:styleId="Default">
    <w:name w:val="Default"/>
    <w:rPr>
      <w:rFonts w:ascii="Arial Unicode MS" w:eastAsia="Arial Unicode MS" w:hAnsi="Arial Unicode MS" w:cs="Arial Unicode MS"/>
      <w:color w:val="000000"/>
    </w:rPr>
  </w:style>
  <w:style w:type="paragraph" w:customStyle="1" w:styleId="TableContents">
    <w:name w:val="Table Contents"/>
    <w:basedOn w:val="Standard"/>
    <w:pPr>
      <w:suppressLineNumbers/>
    </w:pPr>
  </w:style>
  <w:style w:type="paragraph" w:styleId="Encabezado">
    <w:name w:val="header"/>
    <w:basedOn w:val="Standard"/>
    <w:pPr>
      <w:suppressLineNumbers/>
      <w:tabs>
        <w:tab w:val="center" w:pos="4819"/>
        <w:tab w:val="right" w:pos="9638"/>
      </w:tabs>
    </w:pPr>
  </w:style>
  <w:style w:type="paragraph" w:customStyle="1" w:styleId="HeaderandFooter">
    <w:name w:val="Header and Footer"/>
    <w:basedOn w:val="Standard"/>
    <w:pPr>
      <w:suppressLineNumbers/>
      <w:tabs>
        <w:tab w:val="center" w:pos="4819"/>
        <w:tab w:val="right" w:pos="9638"/>
      </w:tabs>
    </w:pPr>
  </w:style>
  <w:style w:type="paragraph" w:styleId="Piedepgina">
    <w:name w:val="footer"/>
    <w:basedOn w:val="Standard"/>
    <w:pPr>
      <w:suppressLineNumbers/>
      <w:tabs>
        <w:tab w:val="center" w:pos="4819"/>
        <w:tab w:val="right" w:pos="9638"/>
      </w:tabs>
    </w:pPr>
  </w:style>
  <w:style w:type="paragraph" w:customStyle="1" w:styleId="Framecontents">
    <w:name w:val="Frame contents"/>
    <w:basedOn w:val="Standard"/>
  </w:style>
  <w:style w:type="paragraph" w:customStyle="1" w:styleId="TableHeading">
    <w:name w:val="Table Heading"/>
    <w:basedOn w:val="TableContents"/>
    <w:pPr>
      <w:jc w:val="center"/>
    </w:pPr>
    <w:rPr>
      <w:b/>
      <w:bCs/>
    </w:rPr>
  </w:style>
  <w:style w:type="paragraph" w:customStyle="1" w:styleId="LO-Normal">
    <w:name w:val="LO-Normal"/>
    <w:pPr>
      <w:suppressAutoHyphens/>
    </w:pPr>
    <w:rPr>
      <w:rFonts w:eastAsia="0" w:cs="0"/>
    </w:rPr>
  </w:style>
  <w:style w:type="character" w:customStyle="1" w:styleId="WW-Fuentedeprrafopredeter">
    <w:name w:val="WW-Fuente de párrafo predeter."/>
  </w:style>
  <w:style w:type="character" w:customStyle="1" w:styleId="StrongEmphasis">
    <w:name w:val="Strong Emphasis"/>
    <w:basedOn w:val="WW-Fuentedeprrafopredeter"/>
    <w:rPr>
      <w:b/>
    </w:rPr>
  </w:style>
  <w:style w:type="character" w:customStyle="1" w:styleId="NumberingSymbols">
    <w:name w:val="Numbering Symbols"/>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AppData/Local/Microsoft/Windows/INetCache/Content.Outlook/C42P47S7/Proyecto%20Decreto%20OEP2023_CAST%20(003).od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1195</Words>
  <Characters>6576</Characters>
  <Application>Microsoft Office Word</Application>
  <DocSecurity>0</DocSecurity>
  <Lines>54</Lines>
  <Paragraphs>15</Paragraphs>
  <ScaleCrop>false</ScaleCrop>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Barona ANPECV</dc:creator>
  <cp:lastModifiedBy>Alejandro Barona ANPECV</cp:lastModifiedBy>
  <cp:revision>2</cp:revision>
  <cp:lastPrinted>2023-05-23T09:42:00Z</cp:lastPrinted>
  <dcterms:created xsi:type="dcterms:W3CDTF">2023-05-23T10:31:00Z</dcterms:created>
  <dcterms:modified xsi:type="dcterms:W3CDTF">2023-05-23T10:31:00Z</dcterms:modified>
</cp:coreProperties>
</file>